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173" w:type="dxa"/>
        <w:tblLook w:val="0000" w:firstRow="0" w:lastRow="0" w:firstColumn="0" w:lastColumn="0" w:noHBand="0" w:noVBand="0"/>
      </w:tblPr>
      <w:tblGrid>
        <w:gridCol w:w="5148"/>
        <w:gridCol w:w="5025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5025" w:type="dxa"/>
            <w:textDirection w:val="lrTb"/>
            <w:noWrap w:val="false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УТВЕРЖДАЮ: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pBdr>
                <w:bottom w:val="single" w:color="000000" w:sz="12" w:space="0"/>
              </w:pBdr>
            </w:pPr>
            <w:r>
              <w:t xml:space="preserve"> Директор</w:t>
            </w:r>
            <w:r>
              <w:t xml:space="preserve"> филиала                                      </w:t>
            </w:r>
            <w:r/>
          </w:p>
          <w:p>
            <w:pPr>
              <w:jc w:val="right"/>
              <w:pBdr>
                <w:bottom w:val="single" w:color="000000" w:sz="12" w:space="0"/>
              </w:pBdr>
            </w:pPr>
            <w:r>
              <w:t xml:space="preserve">ПАО «Россети Урал» - «Пермэнерго»</w:t>
            </w:r>
            <w:r>
              <w:t xml:space="preserve"> </w:t>
            </w:r>
            <w:r/>
          </w:p>
          <w:p>
            <w:pPr>
              <w:jc w:val="right"/>
              <w:rPr>
                <w:b/>
              </w:rPr>
              <w:pBdr>
                <w:bottom w:val="single" w:color="000000" w:sz="12" w:space="0"/>
              </w:pBd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  <w:pBdr>
                <w:bottom w:val="single" w:color="000000" w:sz="12" w:space="0"/>
              </w:pBdr>
            </w:pPr>
            <w:r>
              <w:rPr>
                <w:b/>
              </w:rPr>
              <w:t xml:space="preserve">С.А. Старков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</w:pPr>
            <w:r>
              <w:rPr>
                <w:highlight w:val="none"/>
              </w:rPr>
            </w:r>
            <w:r/>
          </w:p>
          <w:p>
            <w:pPr>
              <w:jc w:val="right"/>
              <w:rPr>
                <w:highlight w:val="none"/>
              </w:rPr>
            </w:pPr>
            <w:r>
              <w:t xml:space="preserve">«_____» ________________20__ 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</w:pPr>
            <w:r/>
            <w:r/>
          </w:p>
        </w:tc>
      </w:tr>
    </w:tbl>
    <w:p>
      <w:pPr>
        <w:ind w:hanging="1083"/>
        <w:tabs>
          <w:tab w:val="left" w:pos="5746" w:leader="none"/>
        </w:tabs>
      </w:pPr>
      <w:r>
        <w:rPr>
          <w:b/>
        </w:rPr>
        <w:tab/>
      </w:r>
      <w:r>
        <w:rPr>
          <w:b/>
        </w:rPr>
        <w:tab/>
      </w:r>
      <w:r/>
    </w:p>
    <w:p>
      <w:pPr>
        <w:ind w:hanging="1083"/>
        <w:tabs>
          <w:tab w:val="left" w:pos="5746" w:leader="none"/>
        </w:tabs>
      </w:pPr>
      <w:r>
        <w:tab/>
      </w:r>
      <w:r>
        <w:tab/>
      </w:r>
      <w:r/>
    </w:p>
    <w:p>
      <w:pPr>
        <w:ind w:hanging="1083"/>
        <w:tabs>
          <w:tab w:val="left" w:pos="5746" w:leader="none"/>
        </w:tabs>
      </w:pPr>
      <w:r/>
      <w:r/>
    </w:p>
    <w:p>
      <w:pPr>
        <w:ind w:hanging="1083"/>
        <w:tabs>
          <w:tab w:val="left" w:pos="5746" w:leader="none"/>
        </w:tabs>
      </w:pPr>
      <w:r/>
      <w:r/>
    </w:p>
    <w:p>
      <w:pPr>
        <w:ind w:hanging="1083"/>
        <w:tabs>
          <w:tab w:val="left" w:pos="5746" w:leader="none"/>
        </w:tabs>
      </w:pPr>
      <w:r/>
      <w:r/>
    </w:p>
    <w:p>
      <w:pPr>
        <w:ind w:hanging="1083"/>
        <w:tabs>
          <w:tab w:val="left" w:pos="5746" w:leader="none"/>
        </w:tabs>
      </w:pPr>
      <w:r/>
      <w:r/>
    </w:p>
    <w:p>
      <w:pPr>
        <w:ind w:hanging="1083"/>
        <w:tabs>
          <w:tab w:val="left" w:pos="5746" w:leader="none"/>
        </w:tabs>
      </w:pPr>
      <w:r/>
      <w:r/>
    </w:p>
    <w:p>
      <w:pPr>
        <w:ind w:hanging="1083"/>
        <w:tabs>
          <w:tab w:val="left" w:pos="5746" w:leader="none"/>
        </w:tabs>
      </w:pPr>
      <w:r/>
      <w:r/>
    </w:p>
    <w:p>
      <w:pPr>
        <w:ind w:hanging="1083"/>
        <w:tabs>
          <w:tab w:val="left" w:pos="5746" w:leader="none"/>
        </w:tabs>
      </w:pPr>
      <w:r/>
      <w:r/>
    </w:p>
    <w:p>
      <w:pPr>
        <w:ind w:hanging="1083"/>
        <w:tabs>
          <w:tab w:val="left" w:pos="5746" w:leader="none"/>
        </w:tabs>
      </w:pPr>
      <w:r/>
      <w:r/>
    </w:p>
    <w:p>
      <w:pPr>
        <w:ind w:hanging="1083"/>
        <w:tabs>
          <w:tab w:val="left" w:pos="574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97"/>
        <w:jc w:val="center"/>
        <w:keepLines w:val="0"/>
        <w:keepNext w:val="0"/>
        <w:spacing w:before="0"/>
        <w:rPr>
          <w:rFonts w:ascii="Times New Roman" w:hAnsi="Times New Roman" w:eastAsia="SimSu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</w:rPr>
      </w:r>
    </w:p>
    <w:p>
      <w:pPr>
        <w:pStyle w:val="997"/>
        <w:jc w:val="center"/>
        <w:keepLines w:val="0"/>
        <w:keepNext w:val="0"/>
        <w:spacing w:before="0"/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r>
    </w:p>
    <w:p>
      <w:pPr>
        <w:pStyle w:val="997"/>
        <w:jc w:val="center"/>
        <w:keepLines w:val="0"/>
        <w:keepNext w:val="0"/>
        <w:spacing w:before="0"/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r>
    </w:p>
    <w:p>
      <w:pPr>
        <w:pStyle w:val="997"/>
        <w:jc w:val="center"/>
        <w:keepLines w:val="0"/>
        <w:keepNext w:val="0"/>
        <w:spacing w:before="0"/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r>
    </w:p>
    <w:p>
      <w:pPr>
        <w:pStyle w:val="997"/>
        <w:jc w:val="center"/>
        <w:keepLines w:val="0"/>
        <w:keepNext w:val="0"/>
        <w:spacing w:before="0"/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</w:rPr>
      </w:r>
    </w:p>
    <w:p>
      <w:pPr>
        <w:pStyle w:val="997"/>
        <w:jc w:val="center"/>
        <w:keepLines w:val="0"/>
        <w:keepNext w:val="0"/>
        <w:spacing w:before="0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</w:p>
    <w:p>
      <w:pPr>
        <w:pStyle w:val="102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20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участниками которого могут быть </w:t>
      </w:r>
      <w:r>
        <w:rPr>
          <w:b/>
          <w:highlight w:val="none"/>
        </w:rPr>
        <w:t xml:space="preserve">любые лица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2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2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20"/>
        <w:jc w:val="center"/>
        <w:rPr>
          <w:b/>
        </w:rPr>
      </w:pPr>
      <w:r>
        <w:rPr>
          <w:b/>
        </w:rPr>
        <w:t xml:space="preserve">на пр</w:t>
      </w:r>
      <w:r>
        <w:rPr>
          <w:b/>
        </w:rPr>
        <w:t xml:space="preserve">аво заключения договора </w:t>
      </w:r>
      <w:r>
        <w:rPr>
          <w:b/>
        </w:rPr>
        <w:t xml:space="preserve">на п</w:t>
      </w:r>
      <w:r>
        <w:rPr>
          <w:b/>
        </w:rPr>
        <w:t xml:space="preserve">оставку </w:t>
      </w:r>
      <w:r>
        <w:rPr>
          <w:b/>
        </w:rPr>
        <w:t xml:space="preserve">наградной продукции и оборудования для корпоративных мероприятий филиала ПАО «Россети Урал» - «Пермэнерго»</w:t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</w:t>
      </w:r>
      <w:r>
        <w:rPr>
          <w:b/>
        </w:rPr>
        <w:t xml:space="preserve">Пермь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1017"/>
        <w:numPr>
          <w:ilvl w:val="0"/>
          <w:numId w:val="18"/>
        </w:numPr>
        <w:jc w:val="both"/>
        <w:tabs>
          <w:tab w:val="left" w:pos="426" w:leader="none"/>
          <w:tab w:val="left" w:pos="709" w:leader="none"/>
        </w:tabs>
        <w:rPr>
          <w:i/>
        </w:rPr>
      </w:pPr>
      <w:r>
        <w:rPr>
          <w:rFonts w:eastAsia="SimSun"/>
          <w:b/>
          <w:bCs/>
          <w:iCs/>
        </w:rPr>
      </w:r>
      <w:r>
        <w:rPr>
          <w:rFonts w:eastAsia="SimSun"/>
          <w:b/>
          <w:bCs/>
          <w:iCs/>
        </w:rPr>
        <w:t xml:space="preserve">Общие 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сведения о предмете 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сравнения цен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 в электронной форме, участниками которого могут быть 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любые лица</w:t>
      </w:r>
      <w:r>
        <w:rPr>
          <w:rFonts w:ascii="Times New Roman" w:hAnsi="Times New Roman" w:eastAsia="SimSun" w:cs="Times New Roman"/>
          <w:b/>
          <w:bCs/>
          <w:iCs/>
          <w:color w:val="auto"/>
          <w:highlight w:val="none"/>
        </w:rPr>
        <w:t xml:space="preserve"> (далее - закупка):</w:t>
      </w:r>
      <w:r>
        <w:rPr>
          <w:i/>
        </w:rPr>
      </w:r>
      <w:r>
        <w:rPr>
          <w:i/>
        </w:rPr>
      </w:r>
    </w:p>
    <w:p>
      <w:pPr>
        <w:pStyle w:val="1017"/>
        <w:ind w:left="450"/>
        <w:jc w:val="both"/>
        <w:tabs>
          <w:tab w:val="left" w:pos="426" w:leader="none"/>
          <w:tab w:val="left" w:pos="709" w:leader="none"/>
        </w:tabs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017"/>
        <w:numPr>
          <w:ilvl w:val="1"/>
          <w:numId w:val="18"/>
        </w:numPr>
        <w:ind w:left="0" w:firstLine="0"/>
        <w:jc w:val="both"/>
        <w:rPr>
          <w:b/>
        </w:rPr>
      </w:pPr>
      <w:r>
        <w:rPr>
          <w:b/>
        </w:rPr>
        <w:t xml:space="preserve">Предмет закупки:</w:t>
      </w:r>
      <w:r>
        <w:rPr>
          <w:b/>
        </w:rPr>
      </w:r>
      <w:r>
        <w:rPr>
          <w:b/>
        </w:rPr>
      </w:r>
    </w:p>
    <w:p>
      <w:pPr>
        <w:jc w:val="both"/>
        <w:rPr>
          <w:i/>
        </w:rPr>
      </w:pPr>
      <w:r>
        <w:t xml:space="preserve">Право заключения договора на поставку наградной продукции и оборудования для корпоративных мероприятий филиала ПАО «Россети Урал» - «Пермэнерго»</w:t>
      </w:r>
      <w:r>
        <w:rPr>
          <w:i/>
        </w:rPr>
      </w:r>
      <w:r>
        <w:rPr>
          <w:i/>
        </w:rPr>
      </w:r>
    </w:p>
    <w:p>
      <w:pPr>
        <w:jc w:val="both"/>
        <w:tabs>
          <w:tab w:val="left" w:pos="8931" w:leader="none"/>
        </w:tabs>
      </w:pPr>
      <w:r/>
      <w:r/>
    </w:p>
    <w:p>
      <w:pPr>
        <w:numPr>
          <w:ilvl w:val="1"/>
          <w:numId w:val="18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закупки: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b w:val="0"/>
          <w:bCs w:val="0"/>
          <w:highlight w:val="none"/>
        </w:rPr>
        <w:t xml:space="preserve">План закупок 2026 года.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18"/>
        </w:numPr>
        <w:ind w:left="0" w:firstLine="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Заказчик: </w:t>
      </w:r>
      <w:r>
        <w:t xml:space="preserve">П</w:t>
      </w:r>
      <w:r>
        <w:t xml:space="preserve">АО «</w:t>
      </w:r>
      <w:r>
        <w:t xml:space="preserve">Россети Урал</w:t>
      </w:r>
      <w:r>
        <w:t xml:space="preserve">» (филиал </w:t>
      </w:r>
      <w:r>
        <w:t xml:space="preserve">«</w:t>
      </w:r>
      <w:r>
        <w:rPr>
          <w:u w:val="none"/>
        </w:rPr>
        <w:t xml:space="preserve">Пермэнерго</w:t>
      </w:r>
      <w:r>
        <w:t xml:space="preserve">»</w:t>
      </w:r>
      <w:r>
        <w:t xml:space="preserve">).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18"/>
        </w:numPr>
        <w:ind w:left="0" w:firstLine="0"/>
        <w:jc w:val="both"/>
        <w:tabs>
          <w:tab w:val="left" w:pos="426" w:leader="none"/>
        </w:tabs>
        <w:rPr>
          <w:rFonts w:eastAsia="MS Mincho"/>
          <w:color w:val="ff0000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поставки</w:t>
      </w:r>
      <w:r>
        <w:rPr>
          <w:b/>
        </w:rPr>
        <w:t xml:space="preserve">: </w:t>
      </w:r>
      <w:r>
        <w:t xml:space="preserve">Пермский край, г. Пермь</w:t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jc w:val="both"/>
        <w:tabs>
          <w:tab w:val="left" w:pos="426" w:leader="none"/>
        </w:tabs>
        <w:rPr>
          <w:rFonts w:eastAsia="MS Mincho"/>
          <w:color w:val="ff0000"/>
          <w:lang w:eastAsia="ja-JP"/>
        </w:rPr>
      </w:pP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pStyle w:val="1017"/>
        <w:numPr>
          <w:ilvl w:val="1"/>
          <w:numId w:val="18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</w:rPr>
      </w:pPr>
      <w:r>
        <w:rPr>
          <w:b/>
          <w:bCs/>
        </w:rPr>
        <w:t xml:space="preserve">Срок поставки</w:t>
      </w:r>
      <w:r>
        <w:rPr>
          <w:rStyle w:val="1031"/>
          <w:b/>
          <w:bCs/>
        </w:rPr>
        <w:footnoteReference w:id="2"/>
      </w:r>
      <w:r>
        <w:rPr>
          <w:b/>
          <w:bCs/>
        </w:rPr>
        <w:t xml:space="preserve">:</w:t>
      </w:r>
      <w:r>
        <w:rPr>
          <w:b/>
          <w:bCs/>
        </w:rPr>
        <w:t xml:space="preserve"> </w:t>
      </w:r>
      <w:r>
        <w:t xml:space="preserve">в течение </w:t>
      </w:r>
      <w:r>
        <w:t xml:space="preserve">3</w:t>
      </w:r>
      <w:r>
        <w:t xml:space="preserve"> календарных дней с момента заключения договора</w:t>
      </w:r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017"/>
        <w:numPr>
          <w:ilvl w:val="2"/>
          <w:numId w:val="18"/>
        </w:numPr>
        <w:ind w:left="0" w:firstLine="0"/>
        <w:jc w:val="both"/>
        <w:tabs>
          <w:tab w:val="left" w:pos="709" w:leader="none"/>
        </w:tabs>
      </w:pPr>
      <w:r>
        <w:t xml:space="preserve">Участник </w:t>
      </w:r>
      <w:r>
        <w:t xml:space="preserve">закупки должен </w:t>
      </w:r>
      <w:r>
        <w:t xml:space="preserve">осуществить</w:t>
      </w:r>
      <w:r>
        <w:t xml:space="preserve"> </w:t>
      </w:r>
      <w:r>
        <w:t xml:space="preserve">поставку продукции</w:t>
      </w:r>
      <w:r>
        <w:t xml:space="preserve"> </w:t>
      </w:r>
      <w:r>
        <w:t xml:space="preserve">в требуемых объемах и </w:t>
      </w:r>
      <w:r>
        <w:t xml:space="preserve">не позднее </w:t>
      </w:r>
      <w:r>
        <w:t xml:space="preserve">сроков</w:t>
      </w:r>
      <w:r>
        <w:t xml:space="preserve">, приведенных в </w:t>
      </w:r>
      <w:r>
        <w:t xml:space="preserve">Ценовом предложении (Приложение №4</w:t>
      </w:r>
      <w:r>
        <w:t xml:space="preserve"> </w:t>
      </w:r>
      <w:r>
        <w:t xml:space="preserve">к </w:t>
      </w:r>
      <w:r>
        <w:t xml:space="preserve">Техническому заданию</w:t>
      </w:r>
      <w:r>
        <w:t xml:space="preserve">). Заявки, не обеспечивающие </w:t>
      </w:r>
      <w:r>
        <w:t xml:space="preserve">поставку продукции </w:t>
      </w:r>
      <w:r>
        <w:t xml:space="preserve">в указанные сроки, к участию в закупке не допускаются.</w:t>
      </w:r>
      <w:r/>
    </w:p>
    <w:p>
      <w:pPr>
        <w:pStyle w:val="1005"/>
        <w:jc w:val="both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18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Источник финансирования:</w:t>
      </w:r>
      <w:r>
        <w:t xml:space="preserve"> </w:t>
      </w:r>
      <w:r>
        <w:t xml:space="preserve">расходы из прибыли.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18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10237" w:type="dxa"/>
        <w:tblInd w:w="108" w:type="dxa"/>
        <w:tblLook w:val="04A0" w:firstRow="1" w:lastRow="0" w:firstColumn="1" w:lastColumn="0" w:noHBand="0" w:noVBand="1"/>
      </w:tblPr>
      <w:tblGrid>
        <w:gridCol w:w="1795"/>
        <w:gridCol w:w="2182"/>
        <w:gridCol w:w="2202"/>
        <w:gridCol w:w="2271"/>
        <w:gridCol w:w="1787"/>
      </w:tblGrid>
      <w:tr>
        <w:tblPrEx/>
        <w:trPr>
          <w:trHeight w:val="39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 w:themeColor="text1"/>
              </w:rPr>
              <w:t xml:space="preserve">Закупка/лот (</w:t>
            </w:r>
            <w:r>
              <w:rPr>
                <w:color w:val="000000" w:themeColor="text1"/>
                <w:lang w:val="en-US"/>
              </w:rPr>
              <w:t xml:space="preserve">ID</w:t>
            </w:r>
            <w:r>
              <w:rPr>
                <w:color w:val="000000" w:themeColor="text1"/>
              </w:rPr>
              <w:t xml:space="preserve"> </w:t>
            </w:r>
            <w:r>
              <w:t xml:space="preserve">заявки)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8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лота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Начальная (максимальная) цена в руб. с НДС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7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в т.ч.</w:t>
            </w:r>
            <w:r>
              <w:t xml:space="preserve"> НДС</w:t>
            </w:r>
            <w:r>
              <w:t xml:space="preserve">, %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7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Код ОКПД2</w:t>
            </w:r>
            <w:r/>
          </w:p>
        </w:tc>
      </w:tr>
      <w:tr>
        <w:tblPrEx/>
        <w:trPr>
          <w:trHeight w:val="35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  <w:t xml:space="preserve">61924</w:t>
            </w:r>
            <w:r>
              <w:rPr>
                <w:highlight w:val="none"/>
              </w:rPr>
              <w:t xml:space="preserve">/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61924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8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Поставка </w:t>
            </w:r>
            <w:r>
              <w:t xml:space="preserve">наградной продукции и оборудования для корпоративных мероприятий филиала ПАО «Россети Урал» - «Пермэнерго»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 </w:t>
            </w:r>
            <w:r>
              <w:t xml:space="preserve">306 948,34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7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highlight w:val="yellow"/>
              </w:rPr>
            </w:r>
            <w:r>
              <w:rPr>
                <w:highlight w:val="none"/>
              </w:rPr>
              <w:t xml:space="preserve">32.13.10.120</w:t>
            </w:r>
            <w:r>
              <w:rPr>
                <w:highlight w:val="none"/>
              </w:rPr>
            </w:r>
            <w:r/>
          </w:p>
        </w:tc>
      </w:tr>
    </w:tbl>
    <w:p>
      <w:pPr>
        <w:jc w:val="both"/>
        <w:tabs>
          <w:tab w:val="num" w:pos="0" w:leader="none"/>
        </w:tabs>
      </w:pPr>
      <w:r>
        <w:tab/>
      </w:r>
      <w:r>
        <w:t xml:space="preserve"> </w:t>
      </w:r>
      <w:r>
        <w:t xml:space="preserve">Н</w:t>
      </w:r>
      <w:r>
        <w:t xml:space="preserve">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</w:t>
      </w:r>
      <w:r>
        <w:t xml:space="preserve">а или на иных основаниях.</w:t>
      </w:r>
      <w:r/>
    </w:p>
    <w:p>
      <w:pPr>
        <w:jc w:val="both"/>
        <w:tabs>
          <w:tab w:val="num" w:pos="0" w:leader="none"/>
        </w:tabs>
      </w:pPr>
      <w:r/>
      <w:bookmarkStart w:id="0" w:name="_GoBack"/>
      <w:r/>
      <w:bookmarkEnd w:id="0"/>
      <w:r/>
      <w:r/>
    </w:p>
    <w:p>
      <w:pPr>
        <w:pStyle w:val="1017"/>
        <w:numPr>
          <w:ilvl w:val="1"/>
          <w:numId w:val="18"/>
        </w:numPr>
        <w:ind w:left="0" w:firstLine="0"/>
        <w:jc w:val="both"/>
        <w:widowControl w:val="off"/>
        <w:tabs>
          <w:tab w:val="num" w:pos="426" w:leader="none"/>
        </w:tabs>
        <w:rPr>
          <w:sz w:val="22"/>
        </w:rPr>
      </w:pPr>
      <w:r>
        <w:rPr>
          <w:b/>
        </w:rPr>
        <w:t xml:space="preserve">Условия оплаты:</w:t>
      </w:r>
      <w:r>
        <w:rPr>
          <w:sz w:val="22"/>
        </w:rPr>
      </w:r>
      <w:r>
        <w:rPr>
          <w:sz w:val="22"/>
        </w:rPr>
      </w:r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30</w:t>
      </w:r>
      <w:r>
        <w:rPr>
          <w:highlight w:val="none"/>
        </w:rPr>
        <w:t xml:space="preserve"> (</w:t>
      </w:r>
      <w:r>
        <w:rPr>
          <w:highlight w:val="none"/>
        </w:rPr>
        <w:t xml:space="preserve">тридцати</w:t>
      </w:r>
      <w:r>
        <w:rPr>
          <w:highlight w:val="none"/>
        </w:rPr>
        <w:t xml:space="preserve">)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</w:t>
      </w:r>
      <w:r>
        <w:rPr>
          <w:rStyle w:val="1031"/>
          <w:highlight w:val="none"/>
        </w:rPr>
        <w:footnoteReference w:id="3"/>
      </w:r>
      <w:r>
        <w:rPr>
          <w:highlight w:val="none"/>
        </w:rPr>
        <w:t xml:space="preserve">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widowControl w:val="off"/>
        <w:tabs>
          <w:tab w:val="num" w:pos="0" w:leader="none"/>
        </w:tabs>
      </w:pPr>
      <w:r/>
      <w:r/>
    </w:p>
    <w:p>
      <w:pPr>
        <w:jc w:val="both"/>
        <w:widowControl w:val="off"/>
        <w:tabs>
          <w:tab w:val="num" w:pos="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17"/>
        <w:ind w:left="0"/>
        <w:jc w:val="both"/>
        <w:tabs>
          <w:tab w:val="num" w:pos="0" w:leader="none"/>
        </w:tabs>
      </w:pPr>
      <w:r/>
      <w:r/>
    </w:p>
    <w:p>
      <w:pPr>
        <w:pStyle w:val="1005"/>
        <w:numPr>
          <w:ilvl w:val="1"/>
          <w:numId w:val="25"/>
        </w:num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Требования, предъявляемые к поставке продукции: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017"/>
        <w:numPr>
          <w:ilvl w:val="2"/>
          <w:numId w:val="25"/>
        </w:numPr>
        <w:ind w:left="0" w:firstLine="0"/>
        <w:jc w:val="both"/>
        <w:widowControl w:val="off"/>
      </w:pPr>
      <w:r>
        <w:t xml:space="preserve">П</w:t>
      </w:r>
      <w:r>
        <w:t xml:space="preserve">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№4 к настоящему ТЗ. Досрочная поставка продукции и иные способы отгрузки могут производиться т</w:t>
      </w:r>
      <w:r>
        <w:t xml:space="preserve">олько по письменному согласованию с Заказчиком.</w:t>
      </w:r>
      <w:r/>
    </w:p>
    <w:p>
      <w:pPr>
        <w:pStyle w:val="1017"/>
        <w:numPr>
          <w:ilvl w:val="2"/>
          <w:numId w:val="25"/>
        </w:numPr>
        <w:ind w:left="0" w:firstLine="0"/>
        <w:jc w:val="both"/>
        <w:widowControl w:val="off"/>
      </w:pPr>
      <w:r>
        <w:t xml:space="preserve">П</w:t>
      </w:r>
      <w:r>
        <w:t xml:space="preserve">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</w:t>
      </w:r>
      <w:r>
        <w:t xml:space="preserve">объеме и номенклатуре, указанным в приложении №4 к настоящему ТЗ в производственные отделения филиалов ПАО «Россети Урал», согласно реквизитов Грузополучателей, указанных в приложении №3 к настоящему ТЗ, в установленные сроки. </w:t>
      </w:r>
      <w:r/>
    </w:p>
    <w:p>
      <w:pPr>
        <w:pStyle w:val="1017"/>
        <w:numPr>
          <w:ilvl w:val="2"/>
          <w:numId w:val="25"/>
        </w:numPr>
        <w:ind w:left="0" w:firstLine="0"/>
        <w:jc w:val="both"/>
        <w:widowControl w:val="off"/>
      </w:pPr>
      <w: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/>
    </w:p>
    <w:p>
      <w:pPr>
        <w:jc w:val="both"/>
        <w:widowControl w:val="off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17"/>
        <w:numPr>
          <w:ilvl w:val="1"/>
          <w:numId w:val="25"/>
        </w:numPr>
        <w:jc w:val="both"/>
        <w:widowControl w:val="off"/>
        <w:tabs>
          <w:tab w:val="left" w:pos="709" w:leader="none"/>
        </w:tabs>
      </w:pPr>
      <w:r>
        <w:rPr>
          <w:b/>
        </w:rPr>
        <w:t xml:space="preserve">Требования, предъявляемые к продукции:</w:t>
      </w:r>
      <w:r/>
    </w:p>
    <w:p>
      <w:pPr>
        <w:pStyle w:val="1017"/>
        <w:numPr>
          <w:ilvl w:val="2"/>
          <w:numId w:val="25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Продукция, </w:t>
      </w:r>
      <w:r>
        <w:rPr>
          <w:highlight w:val="none"/>
        </w:rPr>
        <w:t xml:space="preserve">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/>
    </w:p>
    <w:p>
      <w:pPr>
        <w:pStyle w:val="1017"/>
        <w:numPr>
          <w:ilvl w:val="2"/>
          <w:numId w:val="25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Вся </w:t>
      </w:r>
      <w:r>
        <w:t xml:space="preserve">поставляемая продукция по техническим характеристикам должна соответствовать опросным листам, чертежам, приложенным к приложению №</w:t>
      </w:r>
      <w:r>
        <w:t xml:space="preserve">4</w:t>
      </w:r>
      <w:r>
        <w:t xml:space="preserve"> к настоящему ТЗ </w:t>
      </w:r>
      <w:r>
        <w:rPr>
          <w:rFonts w:eastAsia="Calibri"/>
          <w:lang w:eastAsia="en-US"/>
        </w:rPr>
        <w:t xml:space="preserve">(при условии их наличия в ТЗ)</w:t>
      </w:r>
      <w:r>
        <w:t xml:space="preserve">.</w:t>
      </w:r>
      <w:r/>
    </w:p>
    <w:p>
      <w:pPr>
        <w:pStyle w:val="1017"/>
        <w:numPr>
          <w:ilvl w:val="2"/>
          <w:numId w:val="25"/>
        </w:numPr>
        <w:ind w:left="0" w:firstLine="0"/>
        <w:jc w:val="both"/>
      </w:pPr>
      <w:r>
        <w:t xml:space="preserve">Участник </w:t>
      </w:r>
      <w:r>
        <w:t xml:space="preserve">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</w:t>
      </w:r>
      <w:r>
        <w:t xml:space="preserve">чертежам (при их наличии).</w:t>
      </w:r>
      <w:r>
        <w:t xml:space="preserve"> </w:t>
      </w:r>
      <w:r>
        <w:t xml:space="preserve">Решение о согласовании/не согласовании замены 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/>
    </w:p>
    <w:p>
      <w:pPr>
        <w:pStyle w:val="1017"/>
        <w:numPr>
          <w:ilvl w:val="2"/>
          <w:numId w:val="25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/>
    </w:p>
    <w:p>
      <w:pPr>
        <w:pStyle w:val="1017"/>
        <w:ind w:left="0"/>
        <w:jc w:val="both"/>
        <w:widowControl w:val="off"/>
        <w:tabs>
          <w:tab w:val="left" w:pos="567" w:leader="none"/>
        </w:tabs>
      </w:pPr>
      <w: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/>
    </w:p>
    <w:p>
      <w:pPr>
        <w:pStyle w:val="1017"/>
        <w:numPr>
          <w:ilvl w:val="2"/>
          <w:numId w:val="25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</w:t>
      </w:r>
      <w:r>
        <w:t xml:space="preserve">Срок изготовления не ранее 2025 г.</w:t>
      </w:r>
      <w:r/>
    </w:p>
    <w:p>
      <w:pPr>
        <w:pStyle w:val="1017"/>
        <w:numPr>
          <w:ilvl w:val="2"/>
          <w:numId w:val="25"/>
        </w:numPr>
        <w:ind w:left="0" w:firstLine="0"/>
        <w:jc w:val="both"/>
        <w:widowControl w:val="off"/>
        <w:tabs>
          <w:tab w:val="left" w:pos="709" w:leader="none"/>
        </w:tabs>
      </w:pPr>
      <w:r>
        <w:rPr>
          <w:color w:val="000000" w:themeColor="text1"/>
        </w:rPr>
        <w:t xml:space="preserve">Технические требования к продукции: гарантийный срок на поставляемую продукцию должен составлять не менее </w:t>
      </w:r>
      <w:r>
        <w:t xml:space="preserve">12 (двенадцати) месяцев</w:t>
      </w:r>
      <w:r>
        <w:rPr>
          <w:color w:val="000000" w:themeColor="text1"/>
        </w:rPr>
        <w:t xml:space="preserve"> </w:t>
      </w:r>
      <w:r>
        <w:t xml:space="preserve">либо не менее срока, указанного изготовителем в паспорте на продукцию, и исчисляется </w:t>
      </w:r>
      <w:r>
        <w:rPr>
          <w:color w:val="000000" w:themeColor="text1"/>
        </w:rPr>
        <w:t xml:space="preserve">с момента поставки продукции на склад Грузополучателя.</w:t>
      </w:r>
      <w:r/>
    </w:p>
    <w:p>
      <w:pPr>
        <w:pStyle w:val="1017"/>
        <w:numPr>
          <w:ilvl w:val="2"/>
          <w:numId w:val="25"/>
        </w:numPr>
        <w:ind w:left="0" w:firstLine="0"/>
        <w:jc w:val="both"/>
        <w:tabs>
          <w:tab w:val="left" w:pos="993" w:leader="none"/>
        </w:tabs>
        <w:rPr>
          <w:rFonts w:eastAsiaTheme="minorHAnsi"/>
          <w:highlight w:val="none"/>
        </w:rPr>
      </w:pPr>
      <w:r>
        <w:t xml:space="preserve">В </w:t>
      </w:r>
      <w:r>
        <w:rPr>
          <w:rFonts w:eastAsiaTheme="minorHAnsi"/>
          <w:lang w:eastAsia="en-US"/>
        </w:rPr>
        <w:t xml:space="preserve">отношении продукции, указанной в приложении №4 к Техническому заданию</w:t>
      </w:r>
      <w:r>
        <w:t xml:space="preserve">, а именно позиции </w:t>
      </w:r>
      <w:r>
        <w:rPr>
          <w:highlight w:val="none"/>
        </w:rPr>
        <w:t xml:space="preserve">№ 1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ind w:left="540" w:firstLine="0"/>
        <w:jc w:val="both"/>
        <w:tabs>
          <w:tab w:val="left" w:pos="993" w:leader="none"/>
        </w:tabs>
        <w:rPr>
          <w:rFonts w:eastAsiaTheme="minorHAnsi"/>
          <w:highlight w:val="none"/>
        </w:rPr>
      </w:pPr>
      <w:r>
        <w:rPr>
          <w:highlight w:val="none"/>
        </w:rPr>
      </w: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</w:p>
    <w:p>
      <w:pPr>
        <w:pStyle w:val="1005"/>
        <w:jc w:val="both"/>
        <w:widowControl w:val="off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34"/>
        <w:numPr>
          <w:ilvl w:val="0"/>
          <w:numId w:val="18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1035"/>
        <w:numPr>
          <w:ilvl w:val="1"/>
          <w:numId w:val="18"/>
        </w:numPr>
        <w:ind w:left="720"/>
        <w:spacing w:before="0" w:after="0"/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1036"/>
        <w:numPr>
          <w:ilvl w:val="2"/>
          <w:numId w:val="18"/>
        </w:numPr>
        <w:contextualSpacing/>
        <w:ind w:left="0" w:firstLine="0"/>
        <w:spacing w:before="0" w:after="0"/>
        <w:tabs>
          <w:tab w:val="left" w:pos="709" w:leader="none"/>
        </w:tabs>
      </w:pPr>
      <w:r>
        <w:rPr>
          <w:rFonts w:eastAsia="SimSun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rFonts w:eastAsia="SimSun"/>
        </w:rPr>
      </w:r>
      <w:r/>
    </w:p>
    <w:p>
      <w:pPr>
        <w:pStyle w:val="1036"/>
        <w:numPr>
          <w:ilvl w:val="2"/>
          <w:numId w:val="18"/>
        </w:numPr>
        <w:contextualSpacing/>
        <w:ind w:left="0" w:firstLine="0"/>
        <w:spacing w:before="0" w:after="0"/>
        <w:tabs>
          <w:tab w:val="left" w:pos="709" w:leader="none"/>
        </w:tabs>
      </w:pPr>
      <w:r>
        <w:rPr>
          <w:rFonts w:eastAsia="SimSun"/>
        </w:rPr>
        <w:t xml:space="preserve">Иметь в составе заявки комплект документов, перечисленный в п.3 настоящего ТЗ.</w:t>
      </w:r>
      <w:r>
        <w:rPr>
          <w:rFonts w:eastAsia="SimSun"/>
        </w:rPr>
      </w:r>
      <w:r/>
    </w:p>
    <w:p>
      <w:pPr>
        <w:pStyle w:val="1036"/>
        <w:numPr>
          <w:ilvl w:val="2"/>
          <w:numId w:val="18"/>
        </w:numPr>
        <w:contextualSpacing/>
        <w:ind w:left="0" w:firstLine="0"/>
        <w:spacing w:before="0" w:after="0"/>
        <w:tabs>
          <w:tab w:val="left" w:pos="709" w:leader="none"/>
        </w:tabs>
      </w:pPr>
      <w:r>
        <w:rPr>
          <w:rFonts w:eastAsia="SimSun"/>
        </w:rPr>
        <w:t xml:space="preserve">Участниками закупки могут быть любые лица, указанные в части 5 статьи 3 Федерального закона "О закупках товаров, работ, услуг отдельными видами юридических лиц", в т.ч. субъекты малого и среднего предпринимательства.</w:t>
      </w:r>
      <w:r>
        <w:rPr>
          <w:rFonts w:eastAsia="SimSun"/>
        </w:rPr>
      </w:r>
      <w:r/>
    </w:p>
    <w:p>
      <w:pPr>
        <w:pStyle w:val="1036"/>
        <w:numPr>
          <w:ilvl w:val="0"/>
          <w:numId w:val="0"/>
        </w:numPr>
        <w:contextualSpacing/>
        <w:spacing w:before="0" w:after="0"/>
        <w:tabs>
          <w:tab w:val="left" w:pos="709" w:leader="none"/>
        </w:tabs>
      </w:pPr>
      <w:r/>
      <w:r/>
    </w:p>
    <w:p>
      <w:pPr>
        <w:pStyle w:val="1034"/>
        <w:numPr>
          <w:ilvl w:val="0"/>
          <w:numId w:val="18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1036"/>
        <w:numPr>
          <w:ilvl w:val="1"/>
          <w:numId w:val="18"/>
        </w:numPr>
        <w:ind w:left="0" w:right="0" w:firstLine="0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lang w:eastAsia="en-US"/>
        </w:rPr>
      </w:r>
      <w:r/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lang w:eastAsia="en-US"/>
        </w:rPr>
        <w:t xml:space="preserve">Приложение </w:t>
      </w:r>
      <w:r>
        <w:rPr>
          <w:rFonts w:eastAsia="Calibri"/>
          <w:szCs w:val="24"/>
          <w:highlight w:val="none"/>
          <w:lang w:eastAsia="en-US"/>
        </w:rPr>
        <w:t xml:space="preserve">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szCs w:val="24"/>
          <w:lang w:eastAsia="en-US"/>
        </w:rPr>
      </w:r>
      <w:r/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  <w:lang w:eastAsia="en-US"/>
        </w:rPr>
        <w:t xml:space="preserve">У</w:t>
      </w:r>
      <w:r>
        <w:rPr>
          <w:rFonts w:eastAsia="Calibri"/>
          <w:szCs w:val="24"/>
          <w:highlight w:val="none"/>
          <w:lang w:eastAsia="en-US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rFonts w:eastAsia="Calibri"/>
          <w:szCs w:val="24"/>
          <w:highlight w:val="none"/>
          <w:lang w:eastAsia="en-US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szCs w:val="24"/>
          <w:highlight w:val="none"/>
          <w:lang w:eastAsia="en-US"/>
        </w:rPr>
      </w:r>
      <w:r/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lang w:eastAsia="en-US"/>
        </w:rPr>
        <w:t xml:space="preserve">Применяемый «Единый итоговый коэффициент снижения Участника на виды продукции (0&lt;K≤1)» является единым для всех видов продукции.</w:t>
      </w:r>
      <w:r>
        <w:rPr>
          <w:rFonts w:eastAsia="Calibri"/>
          <w:szCs w:val="24"/>
          <w:lang w:eastAsia="en-US"/>
        </w:rPr>
      </w:r>
      <w:r/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  <w:rPr>
          <w:highlight w:val="yellow"/>
        </w:rPr>
      </w:pPr>
      <w:r>
        <w:rPr>
          <w:rFonts w:eastAsia="Calibri"/>
          <w:szCs w:val="24"/>
          <w:highlight w:val="none"/>
          <w:lang w:eastAsia="en-US"/>
        </w:rPr>
        <w:t xml:space="preserve">В столбце «Ставка НДС, %» Участник указывает размер применяемой ставки НДС в процентах (5, 10, 22 и пр.). В случае применения упрощенной системы налогообложения (без НДС) в столбце «Ставка НДС, %»  указывается 0 или столбец не заполняется.</w:t>
      </w:r>
      <w:r>
        <w:rPr>
          <w:highlight w:val="yellow"/>
        </w:rPr>
      </w:r>
      <w:r>
        <w:rPr>
          <w:highlight w:val="yellow"/>
        </w:rPr>
      </w:r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заданию.</w:t>
      </w:r>
      <w:r>
        <w:rPr>
          <w:rFonts w:eastAsia="Calibri"/>
          <w:szCs w:val="24"/>
          <w:highlight w:val="none"/>
          <w:lang w:eastAsia="en-US"/>
        </w:rPr>
      </w:r>
      <w:r/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szCs w:val="24"/>
          <w:highlight w:val="none"/>
          <w:lang w:eastAsia="en-US"/>
        </w:rPr>
      </w:r>
      <w:r/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highlight w:val="none"/>
          <w:lang w:eastAsia="en-US"/>
        </w:rPr>
        <w:t xml:space="preserve">В столбце «Наименование производителя, ИНН» указывается только 1 (один) производитель продукции.</w:t>
      </w:r>
      <w:r>
        <w:rPr>
          <w:rFonts w:eastAsia="Calibri"/>
          <w:szCs w:val="24"/>
          <w:highlight w:val="none"/>
          <w:lang w:eastAsia="en-US"/>
        </w:rPr>
      </w:r>
      <w:r/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szCs w:val="24"/>
          <w:lang w:eastAsia="en-US"/>
        </w:rPr>
        <w:t xml:space="preserve">В столбце «ГОСТ, технический регламент, Техусловия (ТУ) на изготовление» </w:t>
      </w:r>
      <w:r>
        <w:rPr>
          <w:rFonts w:eastAsia="Calibri"/>
          <w:szCs w:val="24"/>
          <w:highlight w:val="none"/>
          <w:lang w:eastAsia="en-US"/>
        </w:rPr>
        <w:t xml:space="preserve">Участником указывается конкретный «ГОСТ, технический регламент, Технические условия (ТУ) </w:t>
      </w:r>
      <w:r>
        <w:rPr>
          <w:rFonts w:eastAsia="Calibri"/>
          <w:szCs w:val="24"/>
          <w:highlight w:val="none"/>
          <w:lang w:eastAsia="en-US"/>
        </w:rPr>
        <w:t xml:space="preserve">на изготовление» по каждой номенклатурной позиции.</w:t>
      </w:r>
      <w:r>
        <w:rPr>
          <w:rFonts w:eastAsia="Calibri"/>
          <w:highlight w:val="none"/>
        </w:rPr>
      </w:r>
      <w:r>
        <w:rPr>
          <w:rFonts w:eastAsia="Calibri"/>
          <w:highlight w:val="none"/>
        </w:rPr>
      </w:r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</w:t>
      </w:r>
      <w:r>
        <w:rPr>
          <w:rFonts w:eastAsia="Calibri"/>
          <w:szCs w:val="24"/>
          <w:highlight w:val="none"/>
          <w:lang w:eastAsia="en-US"/>
        </w:rPr>
        <w:t xml:space="preserve"> целях подтверждения страны происхождения товара в соответствии с п.1.10.7 Технического задания Участник в Приложении №4 к Техническому заданию заполняет столбец 12* «Включено в Реестр промышленной продукции/реестр промышленных товаров государств - членов </w:t>
      </w:r>
      <w:r>
        <w:rPr>
          <w:rFonts w:eastAsia="Calibri"/>
          <w:szCs w:val="24"/>
          <w:highlight w:val="none"/>
          <w:lang w:eastAsia="en-US"/>
        </w:rPr>
        <w:t xml:space="preserve">ЕАЭС (да (указать № реестровой записи) / нет)» по каждой номенклатурной позиции с  обязательным указанием в столбце 13* информации о совокупном количестве баллов / об уровне радиоэлектронной продукции из соответствующего реестра (при их наличии).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</w:t>
      </w:r>
      <w:r>
        <w:rPr>
          <w:rFonts w:eastAsia="Calibri"/>
          <w:szCs w:val="24"/>
          <w:highlight w:val="none"/>
          <w:lang w:eastAsia="en-US"/>
        </w:rPr>
        <w:t xml:space="preserve"> случае непредоставления / не полного предоставления / некорректного предоставления / предоставления недостоверных сведений в столбцах 12* и 13*, заявка такого Участника приравнивается к заявке на участие в закупке, в которой содержится предложение о поста</w:t>
      </w:r>
      <w:r>
        <w:rPr>
          <w:rFonts w:eastAsia="Calibri"/>
          <w:szCs w:val="24"/>
          <w:highlight w:val="none"/>
          <w:lang w:eastAsia="en-US"/>
        </w:rPr>
        <w:t xml:space="preserve">вке товара, происходящего из иностранного государства. </w:t>
      </w:r>
      <w:r>
        <w:rPr>
          <w:highlight w:val="none"/>
        </w:rPr>
      </w:r>
      <w:r>
        <w:rPr>
          <w:highlight w:val="none"/>
        </w:rPr>
      </w:r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lang w:eastAsia="en-US"/>
        </w:rPr>
        <w:t xml:space="preserve">В случае нарушения требований инструкции по заполнению (пп.3.1.1 - 3.1.10 настоящего Технического задания) заявка подлежит обязательному отклонению.</w:t>
      </w:r>
      <w:r>
        <w:rPr>
          <w:rFonts w:eastAsia="Calibri"/>
          <w:szCs w:val="24"/>
          <w:lang w:eastAsia="en-US"/>
        </w:rPr>
      </w:r>
      <w:r/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lang w:eastAsia="en-US"/>
        </w:rPr>
        <w:t xml:space="preserve">Информация, указанная Участником в приложении № 4, в дальнейшем изменению не подлежит.</w:t>
      </w:r>
      <w:r>
        <w:rPr>
          <w:rFonts w:eastAsia="Calibri"/>
          <w:szCs w:val="24"/>
          <w:lang w:eastAsia="en-US"/>
        </w:rPr>
      </w:r>
      <w:r/>
    </w:p>
    <w:p>
      <w:pPr>
        <w:pStyle w:val="1036"/>
        <w:numPr>
          <w:ilvl w:val="2"/>
          <w:numId w:val="18"/>
        </w:numPr>
        <w:ind w:left="0" w:right="0" w:firstLine="709"/>
        <w:spacing w:before="0" w:after="0"/>
        <w:widowControl w:val="off"/>
        <w:tabs>
          <w:tab w:val="left" w:pos="284" w:leader="none"/>
        </w:tabs>
      </w:pPr>
      <w:r>
        <w:rPr>
          <w:rFonts w:eastAsia="Calibri"/>
          <w:szCs w:val="24"/>
          <w:lang w:eastAsia="en-US"/>
        </w:rPr>
        <w:t xml:space="preserve">Не заполнение </w:t>
      </w:r>
      <w:r>
        <w:rPr>
          <w:highlight w:val="none"/>
        </w:rPr>
        <w:t xml:space="preserve">Участником закупки столбцов, не помеченных «*» в приложении №</w:t>
      </w:r>
      <w:r>
        <w:rPr>
          <w:rFonts w:eastAsia="Calibri"/>
          <w:highlight w:val="none"/>
          <w:lang w:eastAsia="en-US"/>
        </w:rPr>
        <w:t xml:space="preserve"> 4 к Техническому заданию</w:t>
      </w:r>
      <w:r>
        <w:rPr>
          <w:highlight w:val="none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lang w:eastAsia="en-US"/>
        </w:rPr>
      </w:r>
      <w:r/>
    </w:p>
    <w:p>
      <w:pPr>
        <w:pStyle w:val="1036"/>
        <w:numPr>
          <w:ilvl w:val="0"/>
          <w:numId w:val="0"/>
        </w:numPr>
        <w:spacing w:before="0" w:after="0"/>
        <w:widowControl w:val="off"/>
        <w:tabs>
          <w:tab w:val="left" w:pos="0" w:leader="none"/>
          <w:tab w:val="left" w:pos="142" w:leader="none"/>
          <w:tab w:val="left" w:pos="709" w:leader="none"/>
        </w:tabs>
      </w:pPr>
      <w:r/>
      <w:r/>
    </w:p>
    <w:p>
      <w:pPr>
        <w:pStyle w:val="1017"/>
        <w:numPr>
          <w:ilvl w:val="0"/>
          <w:numId w:val="18"/>
        </w:numPr>
        <w:ind w:left="0" w:firstLine="0"/>
        <w:keepLines/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1011"/>
        <w:ind w:firstLine="709"/>
        <w:jc w:val="both"/>
      </w:pPr>
      <w:r>
        <w:rPr>
          <w:rFonts w:eastAsia="Calibri"/>
          <w:sz w:val="24"/>
          <w:szCs w:val="24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lang w:eastAsia="en-US"/>
        </w:rPr>
      </w:r>
      <w:r/>
    </w:p>
    <w:p>
      <w:pPr>
        <w:pStyle w:val="1011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lang w:eastAsia="en-US"/>
        </w:rPr>
        <w:t xml:space="preserve">Е</w:t>
      </w:r>
      <w:r>
        <w:rPr>
          <w:rFonts w:eastAsia="Calibri"/>
          <w:sz w:val="24"/>
          <w:szCs w:val="24"/>
          <w:lang w:eastAsia="en-US"/>
        </w:rPr>
        <w:t xml:space="preserve">сли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11"/>
        <w:numPr>
          <w:ilvl w:val="0"/>
          <w:numId w:val="51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11"/>
        <w:numPr>
          <w:ilvl w:val="0"/>
          <w:numId w:val="51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пп</w:t>
      </w:r>
      <w:r>
        <w:rPr>
          <w:rFonts w:eastAsia="Calibri"/>
          <w:sz w:val="24"/>
          <w:szCs w:val="24"/>
          <w:highlight w:val="none"/>
          <w:lang w:eastAsia="en-US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пп</w:t>
      </w:r>
      <w:r>
        <w:rPr>
          <w:rFonts w:eastAsia="Calibri"/>
          <w:sz w:val="24"/>
          <w:szCs w:val="24"/>
          <w:highlight w:val="none"/>
          <w:lang w:eastAsia="en-US"/>
        </w:rPr>
        <w:t xml:space="preserve">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11"/>
        <w:numPr>
          <w:ilvl w:val="0"/>
          <w:numId w:val="51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11"/>
        <w:ind w:firstLine="709"/>
        <w:jc w:val="both"/>
      </w:pPr>
      <w:r>
        <w:rPr>
          <w:rFonts w:eastAsia="Calibri"/>
          <w:sz w:val="24"/>
          <w:szCs w:val="24"/>
          <w:lang w:eastAsia="en-US"/>
        </w:rPr>
      </w:r>
      <w:r/>
    </w:p>
    <w:p>
      <w:pPr>
        <w:pStyle w:val="1011"/>
        <w:jc w:val="both"/>
        <w:rPr>
          <w:color w:val="000000" w:themeColor="text1"/>
          <w:sz w:val="24"/>
          <w:szCs w:val="24"/>
        </w:rPr>
      </w:pPr>
      <w:r>
        <w:rPr>
          <w:rStyle w:val="1027"/>
          <w:b/>
          <w:i/>
          <w:color w:val="000000" w:themeColor="text1"/>
          <w:sz w:val="24"/>
          <w:szCs w:val="24"/>
        </w:rPr>
        <w:t xml:space="preserve">Приложение 1 (</w:t>
      </w:r>
      <w:r>
        <w:rPr>
          <w:rStyle w:val="1027"/>
          <w:i/>
          <w:color w:val="000000" w:themeColor="text1"/>
          <w:sz w:val="24"/>
          <w:szCs w:val="24"/>
        </w:rPr>
        <w:t xml:space="preserve">обязательное). </w:t>
      </w:r>
      <w:r>
        <w:rPr>
          <w:color w:val="000000" w:themeColor="text1"/>
          <w:sz w:val="24"/>
          <w:szCs w:val="24"/>
        </w:rPr>
        <w:t xml:space="preserve"> Обоснование начальной (максимальной) цены договора (форма).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rPr>
          <w:color w:val="000000" w:themeColor="text1"/>
        </w:rPr>
      </w:pPr>
      <w:r>
        <w:rPr>
          <w:rStyle w:val="1027"/>
          <w:b/>
          <w:i/>
          <w:color w:val="000000" w:themeColor="text1"/>
          <w:sz w:val="24"/>
          <w:szCs w:val="24"/>
        </w:rPr>
        <w:t xml:space="preserve">Приложение 2</w:t>
      </w:r>
      <w:r>
        <w:rPr>
          <w:rStyle w:val="1027"/>
          <w:i/>
          <w:color w:val="000000" w:themeColor="text1"/>
          <w:sz w:val="24"/>
          <w:szCs w:val="24"/>
        </w:rPr>
        <w:t xml:space="preserve"> </w:t>
      </w:r>
      <w:r>
        <w:rPr>
          <w:rStyle w:val="1027"/>
          <w:b/>
          <w:i/>
          <w:color w:val="000000" w:themeColor="text1"/>
          <w:sz w:val="24"/>
          <w:szCs w:val="24"/>
        </w:rPr>
        <w:t xml:space="preserve">(</w:t>
      </w:r>
      <w:r>
        <w:rPr>
          <w:rStyle w:val="1027"/>
          <w:i/>
          <w:color w:val="000000" w:themeColor="text1"/>
          <w:sz w:val="24"/>
          <w:szCs w:val="24"/>
        </w:rPr>
        <w:t xml:space="preserve">обязательное). </w:t>
      </w:r>
      <w:r>
        <w:rPr>
          <w:color w:val="000000" w:themeColor="text1"/>
        </w:rPr>
        <w:t xml:space="preserve">Проект договора (форма).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17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color w:val="000000" w:themeColor="text1"/>
        </w:rPr>
        <w:outlineLvl w:val="0"/>
      </w:pPr>
      <w:r>
        <w:rPr>
          <w:rStyle w:val="1027"/>
          <w:b/>
          <w:i/>
          <w:color w:val="000000" w:themeColor="text1"/>
          <w:sz w:val="24"/>
          <w:szCs w:val="24"/>
        </w:rPr>
        <w:t xml:space="preserve">Приложение 3 </w:t>
      </w:r>
      <w:r>
        <w:rPr>
          <w:rStyle w:val="1027"/>
          <w:i/>
          <w:color w:val="000000" w:themeColor="text1"/>
          <w:sz w:val="24"/>
          <w:szCs w:val="24"/>
        </w:rPr>
        <w:t xml:space="preserve">(обязательное). </w:t>
      </w:r>
      <w:r>
        <w:rPr>
          <w:color w:val="000000" w:themeColor="text1"/>
        </w:rPr>
        <w:t xml:space="preserve">Реквизиты грузополучателей.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tabs>
          <w:tab w:val="left" w:pos="993" w:leader="none"/>
        </w:tabs>
        <w:rPr>
          <w:i/>
          <w:color w:val="000000" w:themeColor="text1"/>
        </w:rPr>
      </w:pPr>
      <w:r>
        <w:rPr>
          <w:rStyle w:val="1027"/>
          <w:b/>
          <w:i/>
          <w:color w:val="000000" w:themeColor="text1"/>
          <w:sz w:val="24"/>
          <w:szCs w:val="24"/>
        </w:rPr>
        <w:t xml:space="preserve">Приложение 4 </w:t>
      </w:r>
      <w:r>
        <w:rPr>
          <w:rStyle w:val="1027"/>
          <w:i/>
          <w:color w:val="000000" w:themeColor="text1"/>
          <w:sz w:val="24"/>
          <w:szCs w:val="24"/>
        </w:rPr>
        <w:t xml:space="preserve">(обязательное). </w:t>
      </w:r>
      <w:r>
        <w:rPr>
          <w:color w:val="000000" w:themeColor="text1"/>
        </w:rPr>
        <w:t xml:space="preserve">Предложение о цене договора </w:t>
      </w:r>
      <w:r>
        <w:rPr>
          <w:rFonts w:eastAsia="Calibri"/>
          <w:color w:val="000000" w:themeColor="text1"/>
          <w:lang w:eastAsia="en-US"/>
        </w:rPr>
        <w:t xml:space="preserve">в формате </w:t>
      </w:r>
      <w:r>
        <w:rPr>
          <w:rFonts w:eastAsia="Calibri"/>
          <w:color w:val="000000" w:themeColor="text1"/>
          <w:lang w:val="en-US" w:eastAsia="en-US"/>
        </w:rPr>
        <w:t xml:space="preserve">excel</w:t>
      </w:r>
      <w:r>
        <w:rPr>
          <w:color w:val="000000" w:themeColor="text1"/>
        </w:rPr>
        <w:t xml:space="preserve"> (форма).</w:t>
      </w:r>
      <w:r>
        <w:rPr>
          <w:i/>
          <w:color w:val="000000" w:themeColor="text1"/>
        </w:rPr>
        <w:t xml:space="preserve"> </w:t>
      </w:r>
      <w:bookmarkStart w:id="1" w:name="_Toc536483690"/>
      <w:r/>
      <w:bookmarkStart w:id="2" w:name="_Toc536628829"/>
      <w:r/>
      <w:bookmarkStart w:id="3" w:name="_Toc2757058"/>
      <w:r/>
      <w:bookmarkEnd w:id="1"/>
      <w:r/>
      <w:bookmarkEnd w:id="2"/>
      <w:r/>
      <w:bookmarkEnd w:id="3"/>
      <w:r>
        <w:rPr>
          <w:i/>
          <w:color w:val="000000" w:themeColor="text1"/>
        </w:rPr>
      </w:r>
      <w:r>
        <w:rPr>
          <w:i/>
          <w:color w:val="000000" w:themeColor="text1"/>
        </w:rPr>
      </w:r>
    </w:p>
    <w:p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rPr>
          <w:b w:val="0"/>
          <w:bCs w:val="0"/>
          <w:highlight w:val="none"/>
        </w:rPr>
      </w:pPr>
      <w:r>
        <w:rPr>
          <w:highlight w:val="none"/>
        </w:rPr>
        <w:t xml:space="preserve">Техническое задани</w:t>
      </w:r>
      <w:r>
        <w:rPr>
          <w:b w:val="0"/>
          <w:bCs w:val="0"/>
          <w:highlight w:val="none"/>
        </w:rPr>
        <w:t xml:space="preserve">е 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highlight w:val="none"/>
        </w:rPr>
      </w:pPr>
      <w:r>
        <w:rPr>
          <w:b w:val="0"/>
          <w:bCs w:val="0"/>
          <w:highlight w:val="none"/>
        </w:rPr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Специалист СОРиСП УП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Баяндина И.С.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ind w:right="76"/>
        <w:jc w:val="both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387"/>
      </w:pPr>
      <w:r>
        <w:t xml:space="preserve">Приложение 1 к Техническому заданию </w:t>
      </w:r>
      <w:r/>
    </w:p>
    <w:p>
      <w:pPr>
        <w:ind w:left="5387"/>
        <w:rPr>
          <w:bCs/>
        </w:rPr>
      </w:pPr>
      <w:r>
        <w:t xml:space="preserve">(обязательное)</w:t>
      </w:r>
      <w:r>
        <w:rPr>
          <w:bCs/>
        </w:rPr>
      </w:r>
      <w:r>
        <w:rPr>
          <w:bCs/>
        </w:rPr>
      </w:r>
    </w:p>
    <w:p>
      <w:pPr>
        <w:pStyle w:val="102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8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before="411" w:after="0" w:afterAutospacing="0" w:line="343" w:lineRule="atLeast"/>
        <w:shd w:val="clear" w:color="auto" w:fill="ffffff"/>
        <w:pBdr>
          <w:bottom w:val="single" w:color="000000" w:sz="12" w:space="1"/>
        </w:pBdr>
        <w:outlineLvl w:val="1"/>
      </w:pPr>
      <w:r>
        <w:t xml:space="preserve">на </w:t>
      </w:r>
      <w:r>
        <w:t xml:space="preserve">поставку наградной продукции и оборудования для корпоративных мероприятий филиала ПАО «Россети Урал» - «Пермэнерго»</w:t>
      </w:r>
      <w:r/>
    </w:p>
    <w:p>
      <w:pPr>
        <w:ind w:firstLine="851"/>
        <w:jc w:val="center"/>
        <w:spacing w:after="0" w:afterAutospacing="0" w:line="343" w:lineRule="atLeast"/>
        <w:shd w:val="clear" w:color="auto" w:fill="ffffff"/>
        <w:rPr>
          <w:highlight w:val="none"/>
        </w:rPr>
        <w:outlineLvl w:val="1"/>
      </w:pPr>
      <w:r>
        <w:t xml:space="preserve">(указывается предмет закупки)</w:t>
      </w:r>
      <w:bookmarkStart w:id="4" w:name="l152"/>
      <w:r/>
      <w:bookmarkEnd w:id="4"/>
      <w:r>
        <w:rPr>
          <w:highlight w:val="none"/>
        </w:rPr>
      </w:r>
      <w:r>
        <w:rPr>
          <w:highlight w:val="none"/>
        </w:rPr>
      </w:r>
    </w:p>
    <w:p>
      <w:pPr>
        <w:ind w:firstLine="851"/>
        <w:jc w:val="center"/>
        <w:spacing w:after="0" w:afterAutospacing="0" w:line="343" w:lineRule="atLeast"/>
        <w:shd w:val="clear" w:color="auto" w:fill="ffffff"/>
        <w:outlineLvl w:val="1"/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222"/>
        <w:gridCol w:w="5223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</w:pPr>
            <w:r/>
            <w:bookmarkStart w:id="5" w:name="l55"/>
            <w:r/>
            <w:bookmarkEnd w:id="5"/>
            <w:r>
              <w:t xml:space="preserve">Начальная (максимальная) цена договора </w:t>
            </w:r>
            <w:r/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</w:pPr>
            <w:r>
              <w:t xml:space="preserve"> </w:t>
            </w:r>
            <w:r>
              <w:t xml:space="preserve"> 306 948,34</w:t>
            </w:r>
            <w:r>
              <w:t xml:space="preserve"> </w:t>
            </w:r>
            <w:r>
              <w:t xml:space="preserve">с НДС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</w:pPr>
            <w:r>
              <w:t xml:space="preserve">Используемый метод определения начальной (максимальной) цены договора  с обоснованием</w:t>
            </w:r>
            <w:r/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</w:t>
            </w:r>
            <w:r>
              <w:rPr>
                <w:sz w:val="24"/>
                <w:szCs w:val="24"/>
              </w:rPr>
              <w:t xml:space="preserve">етод сопоставимых рыночных цен (анализа рынка)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</w:pPr>
            <w: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/>
          </w:p>
          <w:p>
            <w:pPr>
              <w:spacing w:after="300"/>
            </w:pPr>
            <w:r/>
            <w:r/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r>
              <w:t xml:space="preserve">ЕДИНЫЙ СТАНДАРТ ЗАКУПОК ПАО «РОССЕТИ» </w:t>
            </w:r>
            <w:r/>
          </w:p>
          <w:p>
            <w:r>
              <w:t xml:space="preserve">(ПОЛОЖЕНИЕ О ЗАКУПКЕ) </w:t>
            </w:r>
            <w:r/>
          </w:p>
          <w:p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Утвержден решением 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  <w:p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Совета директоров 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  <w:p>
            <w:pPr>
              <w:spacing w:after="300"/>
              <w:rPr>
                <w:i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ПАО «Россети» </w:t>
            </w:r>
            <w:r>
              <w:t xml:space="preserve">от 30.12.2022 </w:t>
            </w:r>
            <w:r>
              <w:rPr>
                <w:rFonts w:eastAsia="Calibri"/>
                <w:color w:val="000000"/>
                <w:lang w:eastAsia="en-US"/>
              </w:rPr>
              <w:t xml:space="preserve">№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604 (в редакции от 16.12.2024 №671)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</w:pPr>
            <w:r>
              <w:t xml:space="preserve">Расчет начальной (максимальной) цены договора </w:t>
            </w:r>
            <w:r/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both"/>
              <w:spacing w:after="300"/>
            </w:pPr>
            <w:r>
              <w:t xml:space="preserve">Приложение №</w:t>
            </w:r>
            <w:r>
              <w:t xml:space="preserve"> </w:t>
            </w:r>
            <w:r>
              <w:t xml:space="preserve">1.1. к ТЗ</w:t>
            </w:r>
            <w:r/>
          </w:p>
        </w:tc>
      </w:tr>
    </w:tbl>
    <w:p>
      <w:pPr>
        <w:ind w:firstLine="851"/>
        <w:shd w:val="clear" w:color="auto" w:fill="ffffff"/>
      </w:pPr>
      <w:r/>
      <w:r/>
    </w:p>
    <w:p>
      <w:r/>
      <w:r/>
    </w:p>
    <w:p>
      <w:pPr>
        <w:pStyle w:val="1005"/>
        <w:ind w:firstLine="708"/>
        <w:jc w:val="both"/>
        <w:widowControl w:val="off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05"/>
        <w:ind w:firstLine="708"/>
        <w:jc w:val="both"/>
        <w:widowControl w:val="off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jc w:val="center"/>
        <w:pageBreakBefore/>
        <w:widowControl w:val="off"/>
        <w:tabs>
          <w:tab w:val="num" w:pos="0" w:leader="none"/>
        </w:tabs>
      </w:pPr>
      <w:r>
        <w:rPr>
          <w:b/>
        </w:rPr>
        <w:t xml:space="preserve">Лист согласования</w:t>
      </w:r>
      <w:r/>
    </w:p>
    <w:p>
      <w:pPr>
        <w:jc w:val="center"/>
      </w:pPr>
      <w:r>
        <w:t xml:space="preserve">Технического задания для организации и проведения Сравнений цен в электронной форме, участниками которого могут быть </w:t>
      </w:r>
      <w:r>
        <w:t xml:space="preserve">любые лица</w:t>
      </w:r>
      <w:r/>
    </w:p>
    <w:p>
      <w:pPr>
        <w:ind w:firstLine="540"/>
        <w:jc w:val="center"/>
        <w:rPr>
          <w:highlight w:val="none"/>
        </w:rPr>
      </w:pPr>
      <w:r>
        <w:t xml:space="preserve">на право заключения договора </w:t>
      </w:r>
      <w:r>
        <w:t xml:space="preserve">на поставку наградной продукции и оборудования для корпоративных мероприятий филиала ПАО «Россети Урал» - «Пермэнерго»</w:t>
      </w:r>
      <w:r>
        <w:rPr>
          <w:highlight w:val="none"/>
        </w:rPr>
      </w:r>
      <w:r>
        <w:rPr>
          <w:highlight w:val="none"/>
        </w:rPr>
      </w:r>
    </w:p>
    <w:p>
      <w:pPr>
        <w:ind w:firstLine="540"/>
        <w:jc w:val="center"/>
        <w:rPr>
          <w:u w:val="single"/>
        </w:rPr>
      </w:pPr>
      <w:r>
        <w:rPr>
          <w:highlight w:val="none"/>
        </w:rPr>
      </w:r>
      <w:r>
        <w:rPr>
          <w:u w:val="single"/>
        </w:rPr>
      </w:r>
      <w:r>
        <w:rPr>
          <w:u w:val="single"/>
        </w:rPr>
      </w:r>
    </w:p>
    <w:p>
      <w:pPr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Составил:</w:t>
      </w:r>
      <w:r>
        <w:rPr>
          <w:b/>
        </w:rPr>
        <w:tab/>
      </w:r>
      <w:r>
        <w:rPr>
          <w:b/>
        </w:rPr>
        <w:tab/>
      </w:r>
      <w:r>
        <w:rPr>
          <w:b/>
        </w:rPr>
      </w:r>
      <w:r>
        <w:rPr>
          <w:b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  <w:gridCol w:w="2605"/>
      </w:tblGrid>
      <w:tr>
        <w:tblPrEx/>
        <w:trPr>
          <w:cantSplit/>
          <w:trHeight w:val="3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Должность, структурное подразделение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Фамилия, инициалы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0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Специалист, СОРиСП УП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Баяндина И.С.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r/>
            <w:r/>
          </w:p>
        </w:tc>
      </w:tr>
    </w:tbl>
    <w:p>
      <w:pPr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Согласовано:</w:t>
      </w:r>
      <w:r>
        <w:rPr>
          <w:b/>
        </w:rPr>
      </w:r>
      <w:r>
        <w:rPr>
          <w:b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297"/>
        <w:gridCol w:w="2410"/>
        <w:gridCol w:w="1389"/>
        <w:gridCol w:w="1559"/>
        <w:gridCol w:w="1701"/>
      </w:tblGrid>
      <w:tr>
        <w:tblPrEx/>
        <w:trPr>
          <w:cantSplit/>
          <w:trHeight w:val="408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Должность, структурное подразделение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Фамилия, инициалы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Сроки  согласования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cantSplit/>
          <w:trHeight w:val="766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  <w:r>
              <w:rPr>
                <w:b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получения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 xml:space="preserve">дата согласования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cantSplit/>
          <w:trHeight w:val="57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И.о. н</w:t>
            </w:r>
            <w:r>
              <w:rPr>
                <w:sz w:val="20"/>
              </w:rPr>
              <w:t xml:space="preserve">ачальника управления персоналом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Булатова Е.М.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57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управления экономики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Ковыляев С.Ю.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57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отдела финансов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Овчинникова И.А.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57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управления правового обеспечения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Раева Е.М.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57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управления экономический безопасности и защиты объектов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Новеньков А.В.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57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8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7400"/>
        <w:gridCol w:w="1956"/>
      </w:tblGrid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Замечания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устранения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6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6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0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6" w:type="dxa"/>
            <w:textDirection w:val="lrTb"/>
            <w:noWrap w:val="false"/>
          </w:tcPr>
          <w:p>
            <w:r/>
            <w:r/>
          </w:p>
        </w:tc>
      </w:tr>
    </w:tbl>
    <w:p>
      <w:pPr>
        <w:tabs>
          <w:tab w:val="left" w:pos="993" w:leader="none"/>
        </w:tabs>
      </w:pPr>
      <w:r/>
      <w:r/>
    </w:p>
    <w:p>
      <w:pPr>
        <w:tabs>
          <w:tab w:val="left" w:pos="993" w:leader="none"/>
        </w:tabs>
      </w:pPr>
      <w:r/>
      <w:r/>
    </w:p>
    <w:p>
      <w:pPr>
        <w:tabs>
          <w:tab w:val="left" w:pos="993" w:leader="none"/>
        </w:tabs>
      </w:pPr>
      <w:r/>
      <w:r/>
    </w:p>
    <w:p>
      <w:pPr>
        <w:tabs>
          <w:tab w:val="left" w:pos="993" w:leader="none"/>
        </w:tabs>
      </w:pPr>
      <w:r/>
      <w:r/>
    </w:p>
    <w:p>
      <w:pPr>
        <w:tabs>
          <w:tab w:val="left" w:pos="993" w:leader="none"/>
        </w:tabs>
      </w:pPr>
      <w:r/>
      <w:r/>
    </w:p>
    <w:p>
      <w:pPr>
        <w:tabs>
          <w:tab w:val="num" w:pos="0" w:leader="none"/>
        </w:tabs>
      </w:pPr>
      <w:r/>
      <w:r/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</w:t>
    </w:r>
    <w:r>
      <w:fldChar w:fldCharType="end"/>
    </w:r>
    <w:r/>
  </w:p>
  <w:p>
    <w:pPr>
      <w:pStyle w:val="102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2"/>
      <w:rPr>
        <w:rStyle w:val="1024"/>
      </w:rPr>
      <w:framePr w:wrap="around" w:vAnchor="text" w:hAnchor="margin" w:xAlign="center" w:y="1"/>
    </w:pPr>
    <w:r>
      <w:rPr>
        <w:rStyle w:val="1024"/>
      </w:rPr>
      <w:fldChar w:fldCharType="begin"/>
    </w:r>
    <w:r>
      <w:rPr>
        <w:rStyle w:val="1024"/>
      </w:rPr>
      <w:instrText xml:space="preserve">PAGE  </w:instrText>
    </w:r>
    <w:r>
      <w:rPr>
        <w:rStyle w:val="1024"/>
      </w:rPr>
      <w:fldChar w:fldCharType="end"/>
    </w:r>
    <w:r>
      <w:rPr>
        <w:rStyle w:val="1024"/>
      </w:rPr>
    </w:r>
    <w:r>
      <w:rPr>
        <w:rStyle w:val="1024"/>
      </w:rPr>
    </w:r>
  </w:p>
  <w:p>
    <w:pPr>
      <w:pStyle w:val="102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</w:pPr>
      <w:r>
        <w:rPr>
          <w:rStyle w:val="1031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/>
    </w:p>
  </w:footnote>
  <w:footnote w:id="3">
    <w:p>
      <w:pPr>
        <w:pStyle w:val="1029"/>
        <w:jc w:val="both"/>
      </w:pPr>
      <w:r>
        <w:rPr>
          <w:rStyle w:val="1031"/>
        </w:rPr>
        <w:footnoteRef/>
      </w:r>
      <w:r>
        <w:t xml:space="preserve"> В</w:t>
      </w:r>
      <w:r>
        <w:t xml:space="preserve"> случае заключения договора по результатам закупки с субъектом малого и среднего предпринимательства максимальный срок оплаты должен составлять не более 7 (семи) рабочих дней.</w:t>
      </w:r>
      <w:r/>
    </w:p>
    <w:p>
      <w:pPr>
        <w:pStyle w:val="1029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9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8"/>
      <w:numFmt w:val="decimal"/>
      <w:isLgl/>
      <w:suff w:val="tab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styleLink w:val="1037"/>
    <w:lvl w:ilvl="0">
      <w:start w:val="1"/>
      <w:numFmt w:val="decimal"/>
      <w:pStyle w:val="103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35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36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38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39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40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41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9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56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64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71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78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85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92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00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728" w:hanging="180"/>
      </w:p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5">
    <w:multiLevelType w:val="hybridMultilevel"/>
    <w:numStyleLink w:val="1037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9"/>
  </w:num>
  <w:num w:numId="4">
    <w:abstractNumId w:val="6"/>
  </w:num>
  <w:num w:numId="5">
    <w:abstractNumId w:val="21"/>
  </w:num>
  <w:num w:numId="6">
    <w:abstractNumId w:val="18"/>
  </w:num>
  <w:num w:numId="7">
    <w:abstractNumId w:val="15"/>
  </w:num>
  <w:num w:numId="8">
    <w:abstractNumId w:val="2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2"/>
  </w:num>
  <w:num w:numId="12">
    <w:abstractNumId w:val="17"/>
  </w:num>
  <w:num w:numId="13">
    <w:abstractNumId w:val="3"/>
  </w:num>
  <w:num w:numId="14">
    <w:abstractNumId w:val="4"/>
  </w:num>
  <w:num w:numId="15">
    <w:abstractNumId w:val="14"/>
  </w:num>
  <w:num w:numId="16">
    <w:abstractNumId w:val="20"/>
  </w:num>
  <w:num w:numId="17">
    <w:abstractNumId w:val="5"/>
  </w:num>
  <w:num w:numId="18">
    <w:abstractNumId w:val="23"/>
  </w:num>
  <w:num w:numId="19">
    <w:abstractNumId w:val="1"/>
  </w:num>
  <w:num w:numId="20">
    <w:abstractNumId w:val="10"/>
  </w:num>
  <w:num w:numId="21">
    <w:abstractNumId w:val="11"/>
  </w:num>
  <w:num w:numId="22">
    <w:abstractNumId w:val="24"/>
  </w:num>
  <w:num w:numId="23">
    <w:abstractNumId w:val="1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7"/>
  </w:num>
  <w:num w:numId="27">
    <w:abstractNumId w:val="8"/>
  </w:num>
  <w:num w:numId="28">
    <w:abstractNumId w:val="25"/>
    <w:lvlOverride w:ilvl="0">
      <w:lvl w:ilvl="0">
        <w:start w:val="1"/>
        <w:numFmt w:val="decimal"/>
        <w:pStyle w:val="1034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35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36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38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39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40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41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8"/>
  </w:num>
  <w:num w:numId="32">
    <w:abstractNumId w:val="29"/>
  </w:num>
  <w:num w:numId="33">
    <w:abstractNumId w:val="30"/>
  </w:num>
  <w:num w:numId="34">
    <w:abstractNumId w:val="31"/>
  </w:num>
  <w:num w:numId="35">
    <w:abstractNumId w:val="32"/>
  </w:num>
  <w:num w:numId="36">
    <w:abstractNumId w:val="33"/>
  </w:num>
  <w:num w:numId="37">
    <w:abstractNumId w:val="34"/>
  </w:num>
  <w:num w:numId="38">
    <w:abstractNumId w:val="35"/>
  </w:num>
  <w:num w:numId="39">
    <w:abstractNumId w:val="36"/>
  </w:num>
  <w:num w:numId="40">
    <w:abstractNumId w:val="37"/>
  </w:num>
  <w:num w:numId="41">
    <w:abstractNumId w:val="38"/>
  </w:num>
  <w:num w:numId="42">
    <w:abstractNumId w:val="39"/>
  </w:num>
  <w:num w:numId="43">
    <w:abstractNumId w:val="40"/>
  </w:num>
  <w:num w:numId="44">
    <w:abstractNumId w:val="41"/>
  </w:num>
  <w:num w:numId="45">
    <w:abstractNumId w:val="42"/>
  </w:num>
  <w:num w:numId="46">
    <w:abstractNumId w:val="43"/>
  </w:num>
  <w:num w:numId="47">
    <w:abstractNumId w:val="44"/>
  </w:num>
  <w:num w:numId="48">
    <w:abstractNumId w:val="45"/>
  </w:num>
  <w:num w:numId="49">
    <w:abstractNumId w:val="46"/>
  </w:num>
  <w:num w:numId="50">
    <w:abstractNumId w:val="47"/>
  </w:num>
  <w:num w:numId="51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6">
    <w:name w:val="Heading 1 Char"/>
    <w:basedOn w:val="998"/>
    <w:link w:val="994"/>
    <w:uiPriority w:val="9"/>
    <w:rPr>
      <w:rFonts w:ascii="Arial" w:hAnsi="Arial" w:eastAsia="Arial" w:cs="Arial"/>
      <w:sz w:val="40"/>
      <w:szCs w:val="40"/>
    </w:rPr>
  </w:style>
  <w:style w:type="character" w:styleId="827">
    <w:name w:val="Heading 2 Char"/>
    <w:basedOn w:val="998"/>
    <w:link w:val="995"/>
    <w:uiPriority w:val="9"/>
    <w:rPr>
      <w:rFonts w:ascii="Arial" w:hAnsi="Arial" w:eastAsia="Arial" w:cs="Arial"/>
      <w:sz w:val="34"/>
    </w:rPr>
  </w:style>
  <w:style w:type="character" w:styleId="828">
    <w:name w:val="Heading 3 Char"/>
    <w:basedOn w:val="998"/>
    <w:link w:val="996"/>
    <w:uiPriority w:val="9"/>
    <w:rPr>
      <w:rFonts w:ascii="Arial" w:hAnsi="Arial" w:eastAsia="Arial" w:cs="Arial"/>
      <w:sz w:val="30"/>
      <w:szCs w:val="30"/>
    </w:rPr>
  </w:style>
  <w:style w:type="paragraph" w:styleId="829">
    <w:name w:val="Heading 4"/>
    <w:basedOn w:val="993"/>
    <w:next w:val="993"/>
    <w:link w:val="8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0">
    <w:name w:val="Heading 4 Char"/>
    <w:basedOn w:val="998"/>
    <w:link w:val="829"/>
    <w:uiPriority w:val="9"/>
    <w:rPr>
      <w:rFonts w:ascii="Arial" w:hAnsi="Arial" w:eastAsia="Arial" w:cs="Arial"/>
      <w:b/>
      <w:bCs/>
      <w:sz w:val="26"/>
      <w:szCs w:val="26"/>
    </w:rPr>
  </w:style>
  <w:style w:type="character" w:styleId="831">
    <w:name w:val="Heading 5 Char"/>
    <w:basedOn w:val="998"/>
    <w:link w:val="997"/>
    <w:uiPriority w:val="9"/>
    <w:rPr>
      <w:rFonts w:ascii="Arial" w:hAnsi="Arial" w:eastAsia="Arial" w:cs="Arial"/>
      <w:b/>
      <w:bCs/>
      <w:sz w:val="24"/>
      <w:szCs w:val="24"/>
    </w:rPr>
  </w:style>
  <w:style w:type="paragraph" w:styleId="832">
    <w:name w:val="Heading 6"/>
    <w:basedOn w:val="993"/>
    <w:next w:val="993"/>
    <w:link w:val="8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3">
    <w:name w:val="Heading 6 Char"/>
    <w:basedOn w:val="998"/>
    <w:link w:val="832"/>
    <w:uiPriority w:val="9"/>
    <w:rPr>
      <w:rFonts w:ascii="Arial" w:hAnsi="Arial" w:eastAsia="Arial" w:cs="Arial"/>
      <w:b/>
      <w:bCs/>
      <w:sz w:val="22"/>
      <w:szCs w:val="22"/>
    </w:rPr>
  </w:style>
  <w:style w:type="paragraph" w:styleId="834">
    <w:name w:val="Heading 7"/>
    <w:basedOn w:val="993"/>
    <w:next w:val="993"/>
    <w:link w:val="83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5">
    <w:name w:val="Heading 7 Char"/>
    <w:basedOn w:val="998"/>
    <w:link w:val="8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6">
    <w:name w:val="Heading 8"/>
    <w:basedOn w:val="993"/>
    <w:next w:val="993"/>
    <w:link w:val="83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7">
    <w:name w:val="Heading 8 Char"/>
    <w:basedOn w:val="998"/>
    <w:link w:val="836"/>
    <w:uiPriority w:val="9"/>
    <w:rPr>
      <w:rFonts w:ascii="Arial" w:hAnsi="Arial" w:eastAsia="Arial" w:cs="Arial"/>
      <w:i/>
      <w:iCs/>
      <w:sz w:val="22"/>
      <w:szCs w:val="22"/>
    </w:rPr>
  </w:style>
  <w:style w:type="paragraph" w:styleId="838">
    <w:name w:val="Heading 9"/>
    <w:basedOn w:val="993"/>
    <w:next w:val="993"/>
    <w:link w:val="8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9">
    <w:name w:val="Heading 9 Char"/>
    <w:basedOn w:val="998"/>
    <w:link w:val="838"/>
    <w:uiPriority w:val="9"/>
    <w:rPr>
      <w:rFonts w:ascii="Arial" w:hAnsi="Arial" w:eastAsia="Arial" w:cs="Arial"/>
      <w:i/>
      <w:iCs/>
      <w:sz w:val="21"/>
      <w:szCs w:val="21"/>
    </w:rPr>
  </w:style>
  <w:style w:type="character" w:styleId="840">
    <w:name w:val="Title Char"/>
    <w:basedOn w:val="998"/>
    <w:link w:val="1005"/>
    <w:uiPriority w:val="10"/>
    <w:rPr>
      <w:sz w:val="48"/>
      <w:szCs w:val="48"/>
    </w:rPr>
  </w:style>
  <w:style w:type="paragraph" w:styleId="841">
    <w:name w:val="Subtitle"/>
    <w:basedOn w:val="993"/>
    <w:next w:val="993"/>
    <w:link w:val="842"/>
    <w:uiPriority w:val="11"/>
    <w:qFormat/>
    <w:pPr>
      <w:spacing w:before="200" w:after="200"/>
    </w:pPr>
    <w:rPr>
      <w:sz w:val="24"/>
      <w:szCs w:val="24"/>
    </w:rPr>
  </w:style>
  <w:style w:type="character" w:styleId="842">
    <w:name w:val="Subtitle Char"/>
    <w:basedOn w:val="998"/>
    <w:link w:val="841"/>
    <w:uiPriority w:val="11"/>
    <w:rPr>
      <w:sz w:val="24"/>
      <w:szCs w:val="24"/>
    </w:rPr>
  </w:style>
  <w:style w:type="paragraph" w:styleId="843">
    <w:name w:val="Quote"/>
    <w:basedOn w:val="993"/>
    <w:next w:val="993"/>
    <w:link w:val="844"/>
    <w:uiPriority w:val="29"/>
    <w:qFormat/>
    <w:pPr>
      <w:ind w:left="720" w:right="720"/>
    </w:pPr>
    <w:rPr>
      <w:i/>
    </w:rPr>
  </w:style>
  <w:style w:type="character" w:styleId="844">
    <w:name w:val="Quote Char"/>
    <w:link w:val="843"/>
    <w:uiPriority w:val="29"/>
    <w:rPr>
      <w:i/>
    </w:rPr>
  </w:style>
  <w:style w:type="paragraph" w:styleId="845">
    <w:name w:val="Intense Quote"/>
    <w:basedOn w:val="993"/>
    <w:next w:val="993"/>
    <w:link w:val="84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6">
    <w:name w:val="Intense Quote Char"/>
    <w:link w:val="845"/>
    <w:uiPriority w:val="30"/>
    <w:rPr>
      <w:i/>
    </w:rPr>
  </w:style>
  <w:style w:type="paragraph" w:styleId="847">
    <w:name w:val="Header"/>
    <w:basedOn w:val="993"/>
    <w:link w:val="84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48">
    <w:name w:val="Header Char"/>
    <w:basedOn w:val="998"/>
    <w:link w:val="847"/>
    <w:uiPriority w:val="99"/>
  </w:style>
  <w:style w:type="character" w:styleId="849">
    <w:name w:val="Footer Char"/>
    <w:basedOn w:val="998"/>
    <w:link w:val="1022"/>
    <w:uiPriority w:val="99"/>
  </w:style>
  <w:style w:type="paragraph" w:styleId="850">
    <w:name w:val="Caption"/>
    <w:basedOn w:val="993"/>
    <w:next w:val="993"/>
    <w:link w:val="85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1">
    <w:name w:val="Caption Char"/>
    <w:basedOn w:val="998"/>
    <w:link w:val="850"/>
    <w:uiPriority w:val="35"/>
    <w:rPr>
      <w:b/>
      <w:bCs/>
      <w:color w:val="4f81bd" w:themeColor="accent1"/>
      <w:sz w:val="18"/>
      <w:szCs w:val="18"/>
    </w:rPr>
  </w:style>
  <w:style w:type="table" w:styleId="852">
    <w:name w:val="Table Grid"/>
    <w:basedOn w:val="9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>
    <w:name w:val="Table Grid Light"/>
    <w:basedOn w:val="9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Plain Table 1"/>
    <w:basedOn w:val="9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2"/>
    <w:basedOn w:val="9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7">
    <w:name w:val="Plain Table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Plain Table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9">
    <w:name w:val="Grid Table 1 Light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4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1">
    <w:name w:val="Grid Table 4 - Accent 1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2">
    <w:name w:val="Grid Table 4 - Accent 2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3">
    <w:name w:val="Grid Table 4 - Accent 3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4">
    <w:name w:val="Grid Table 4 - Accent 4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5">
    <w:name w:val="Grid Table 4 - Accent 5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6">
    <w:name w:val="Grid Table 4 - Accent 6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7">
    <w:name w:val="Grid Table 5 Dark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8">
    <w:name w:val="Grid Table 5 Dark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1">
    <w:name w:val="Grid Table 5 Dark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4">
    <w:name w:val="Grid Table 6 Colorful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5">
    <w:name w:val="Grid Table 6 Colorful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6">
    <w:name w:val="Grid Table 6 Colorful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7">
    <w:name w:val="Grid Table 6 Colorful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8">
    <w:name w:val="Grid Table 6 Colorful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9">
    <w:name w:val="Grid Table 6 Colorful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6 Colorful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1">
    <w:name w:val="Grid Table 7 Colorful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6">
    <w:name w:val="List Table 2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7">
    <w:name w:val="List Table 2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8">
    <w:name w:val="List Table 2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9">
    <w:name w:val="List Table 2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0">
    <w:name w:val="List Table 2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1">
    <w:name w:val="List Table 2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2">
    <w:name w:val="List Table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5 Dark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6 Colorful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4">
    <w:name w:val="List Table 6 Colorful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5">
    <w:name w:val="List Table 6 Colorful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6">
    <w:name w:val="List Table 6 Colorful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7">
    <w:name w:val="List Table 6 Colorful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8">
    <w:name w:val="List Table 6 Colorful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9">
    <w:name w:val="List Table 6 Colorful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0">
    <w:name w:val="List Table 7 Colorful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1">
    <w:name w:val="List Table 7 Colorful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2">
    <w:name w:val="List Table 7 Colorful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3">
    <w:name w:val="List Table 7 Colorful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4">
    <w:name w:val="List Table 7 Colorful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5">
    <w:name w:val="List Table 7 Colorful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6">
    <w:name w:val="List Table 7 Colorful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7">
    <w:name w:val="Lined - Accent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8">
    <w:name w:val="Lined - Accent 1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9">
    <w:name w:val="Lined - Accent 2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0">
    <w:name w:val="Lined - Accent 3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1">
    <w:name w:val="Lined - Accent 4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2">
    <w:name w:val="Lined - Accent 5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3">
    <w:name w:val="Lined - Accent 6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4">
    <w:name w:val="Bordered &amp; Lined - Accent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5">
    <w:name w:val="Bordered &amp; Lined - Accent 1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6">
    <w:name w:val="Bordered &amp; Lined - Accent 2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7">
    <w:name w:val="Bordered &amp; Lined - Accent 3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8">
    <w:name w:val="Bordered &amp; Lined - Accent 4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9">
    <w:name w:val="Bordered &amp; Lined - Accent 5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0">
    <w:name w:val="Bordered &amp; Lined - Accent 6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1">
    <w:name w:val="Bordered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2">
    <w:name w:val="Bordered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3">
    <w:name w:val="Bordered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4">
    <w:name w:val="Bordered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5">
    <w:name w:val="Bordered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6">
    <w:name w:val="Bordered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7">
    <w:name w:val="Bordered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8">
    <w:name w:val="Footnote Text Char"/>
    <w:link w:val="1029"/>
    <w:uiPriority w:val="99"/>
    <w:rPr>
      <w:sz w:val="18"/>
    </w:rPr>
  </w:style>
  <w:style w:type="paragraph" w:styleId="979">
    <w:name w:val="endnote text"/>
    <w:basedOn w:val="993"/>
    <w:link w:val="980"/>
    <w:uiPriority w:val="99"/>
    <w:semiHidden/>
    <w:unhideWhenUsed/>
    <w:pPr>
      <w:spacing w:after="0" w:line="240" w:lineRule="auto"/>
    </w:pPr>
    <w:rPr>
      <w:sz w:val="20"/>
    </w:rPr>
  </w:style>
  <w:style w:type="character" w:styleId="980">
    <w:name w:val="Endnote Text Char"/>
    <w:link w:val="979"/>
    <w:uiPriority w:val="99"/>
    <w:rPr>
      <w:sz w:val="20"/>
    </w:rPr>
  </w:style>
  <w:style w:type="character" w:styleId="981">
    <w:name w:val="endnote reference"/>
    <w:basedOn w:val="998"/>
    <w:uiPriority w:val="99"/>
    <w:semiHidden/>
    <w:unhideWhenUsed/>
    <w:rPr>
      <w:vertAlign w:val="superscript"/>
    </w:rPr>
  </w:style>
  <w:style w:type="paragraph" w:styleId="982">
    <w:name w:val="toc 1"/>
    <w:basedOn w:val="993"/>
    <w:next w:val="993"/>
    <w:uiPriority w:val="39"/>
    <w:unhideWhenUsed/>
    <w:pPr>
      <w:ind w:left="0" w:right="0" w:firstLine="0"/>
      <w:spacing w:after="57"/>
    </w:pPr>
  </w:style>
  <w:style w:type="paragraph" w:styleId="983">
    <w:name w:val="toc 2"/>
    <w:basedOn w:val="993"/>
    <w:next w:val="993"/>
    <w:uiPriority w:val="39"/>
    <w:unhideWhenUsed/>
    <w:pPr>
      <w:ind w:left="283" w:right="0" w:firstLine="0"/>
      <w:spacing w:after="57"/>
    </w:pPr>
  </w:style>
  <w:style w:type="paragraph" w:styleId="984">
    <w:name w:val="toc 3"/>
    <w:basedOn w:val="993"/>
    <w:next w:val="993"/>
    <w:uiPriority w:val="39"/>
    <w:unhideWhenUsed/>
    <w:pPr>
      <w:ind w:left="567" w:right="0" w:firstLine="0"/>
      <w:spacing w:after="57"/>
    </w:pPr>
  </w:style>
  <w:style w:type="paragraph" w:styleId="985">
    <w:name w:val="toc 4"/>
    <w:basedOn w:val="993"/>
    <w:next w:val="993"/>
    <w:uiPriority w:val="39"/>
    <w:unhideWhenUsed/>
    <w:pPr>
      <w:ind w:left="850" w:right="0" w:firstLine="0"/>
      <w:spacing w:after="57"/>
    </w:pPr>
  </w:style>
  <w:style w:type="paragraph" w:styleId="986">
    <w:name w:val="toc 5"/>
    <w:basedOn w:val="993"/>
    <w:next w:val="993"/>
    <w:uiPriority w:val="39"/>
    <w:unhideWhenUsed/>
    <w:pPr>
      <w:ind w:left="1134" w:right="0" w:firstLine="0"/>
      <w:spacing w:after="57"/>
    </w:pPr>
  </w:style>
  <w:style w:type="paragraph" w:styleId="987">
    <w:name w:val="toc 6"/>
    <w:basedOn w:val="993"/>
    <w:next w:val="993"/>
    <w:uiPriority w:val="39"/>
    <w:unhideWhenUsed/>
    <w:pPr>
      <w:ind w:left="1417" w:right="0" w:firstLine="0"/>
      <w:spacing w:after="57"/>
    </w:pPr>
  </w:style>
  <w:style w:type="paragraph" w:styleId="988">
    <w:name w:val="toc 7"/>
    <w:basedOn w:val="993"/>
    <w:next w:val="993"/>
    <w:uiPriority w:val="39"/>
    <w:unhideWhenUsed/>
    <w:pPr>
      <w:ind w:left="1701" w:right="0" w:firstLine="0"/>
      <w:spacing w:after="57"/>
    </w:pPr>
  </w:style>
  <w:style w:type="paragraph" w:styleId="989">
    <w:name w:val="toc 8"/>
    <w:basedOn w:val="993"/>
    <w:next w:val="993"/>
    <w:uiPriority w:val="39"/>
    <w:unhideWhenUsed/>
    <w:pPr>
      <w:ind w:left="1984" w:right="0" w:firstLine="0"/>
      <w:spacing w:after="57"/>
    </w:pPr>
  </w:style>
  <w:style w:type="paragraph" w:styleId="990">
    <w:name w:val="toc 9"/>
    <w:basedOn w:val="993"/>
    <w:next w:val="993"/>
    <w:uiPriority w:val="39"/>
    <w:unhideWhenUsed/>
    <w:pPr>
      <w:ind w:left="2268" w:right="0" w:firstLine="0"/>
      <w:spacing w:after="57"/>
    </w:pPr>
  </w:style>
  <w:style w:type="paragraph" w:styleId="991">
    <w:name w:val="TOC Heading"/>
    <w:uiPriority w:val="39"/>
    <w:unhideWhenUsed/>
  </w:style>
  <w:style w:type="paragraph" w:styleId="992">
    <w:name w:val="table of figures"/>
    <w:basedOn w:val="993"/>
    <w:next w:val="993"/>
    <w:uiPriority w:val="99"/>
    <w:unhideWhenUsed/>
    <w:pPr>
      <w:spacing w:after="0" w:afterAutospacing="0"/>
    </w:pPr>
  </w:style>
  <w:style w:type="paragraph" w:styleId="99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4">
    <w:name w:val="Heading 1"/>
    <w:basedOn w:val="993"/>
    <w:next w:val="993"/>
    <w:link w:val="1001"/>
    <w:qFormat/>
    <w:pPr>
      <w:jc w:val="center"/>
      <w:keepNext/>
      <w:outlineLvl w:val="0"/>
    </w:pPr>
    <w:rPr>
      <w:sz w:val="28"/>
    </w:rPr>
  </w:style>
  <w:style w:type="paragraph" w:styleId="995">
    <w:name w:val="Heading 2"/>
    <w:basedOn w:val="993"/>
    <w:next w:val="993"/>
    <w:link w:val="1027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996">
    <w:name w:val="Heading 3"/>
    <w:basedOn w:val="993"/>
    <w:next w:val="993"/>
    <w:link w:val="1025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997">
    <w:name w:val="Heading 5"/>
    <w:basedOn w:val="993"/>
    <w:next w:val="993"/>
    <w:link w:val="1019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998" w:default="1">
    <w:name w:val="Default Paragraph Font"/>
    <w:uiPriority w:val="1"/>
    <w:semiHidden/>
    <w:unhideWhenUsed/>
  </w:style>
  <w:style w:type="table" w:styleId="9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0" w:default="1">
    <w:name w:val="No List"/>
    <w:uiPriority w:val="99"/>
    <w:semiHidden/>
    <w:unhideWhenUsed/>
  </w:style>
  <w:style w:type="character" w:styleId="1001" w:customStyle="1">
    <w:name w:val="Заголовок 1 Знак"/>
    <w:basedOn w:val="998"/>
    <w:link w:val="994"/>
    <w:rPr>
      <w:rFonts w:ascii="Times New Roman" w:hAnsi="Times New Roman" w:eastAsia="Times New Roman" w:cs="Times New Roman"/>
      <w:sz w:val="28"/>
      <w:szCs w:val="24"/>
    </w:rPr>
  </w:style>
  <w:style w:type="paragraph" w:styleId="1002">
    <w:name w:val="Body Text Indent"/>
    <w:basedOn w:val="993"/>
    <w:link w:val="1003"/>
    <w:uiPriority w:val="99"/>
    <w:pPr>
      <w:ind w:left="1083" w:firstLine="537"/>
      <w:jc w:val="both"/>
      <w:tabs>
        <w:tab w:val="num" w:pos="0" w:leader="none"/>
      </w:tabs>
    </w:pPr>
  </w:style>
  <w:style w:type="character" w:styleId="1003" w:customStyle="1">
    <w:name w:val="Основной текст с отступом Знак"/>
    <w:basedOn w:val="998"/>
    <w:link w:val="1002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04">
    <w:name w:val="Normal (Web)"/>
    <w:basedOn w:val="993"/>
    <w:uiPriority w:val="99"/>
    <w:pPr>
      <w:spacing w:before="100" w:beforeAutospacing="1" w:after="100" w:afterAutospacing="1"/>
    </w:pPr>
  </w:style>
  <w:style w:type="paragraph" w:styleId="1005">
    <w:name w:val="Title"/>
    <w:basedOn w:val="993"/>
    <w:link w:val="1006"/>
    <w:uiPriority w:val="10"/>
    <w:qFormat/>
    <w:pPr>
      <w:jc w:val="center"/>
    </w:pPr>
    <w:rPr>
      <w:sz w:val="28"/>
    </w:rPr>
  </w:style>
  <w:style w:type="character" w:styleId="1006" w:customStyle="1">
    <w:name w:val="Заголовок Знак"/>
    <w:basedOn w:val="998"/>
    <w:link w:val="1005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07" w:customStyle="1">
    <w:name w:val="Подподпункт"/>
    <w:basedOn w:val="993"/>
  </w:style>
  <w:style w:type="paragraph" w:styleId="1008">
    <w:name w:val="Plain Text"/>
    <w:basedOn w:val="993"/>
    <w:link w:val="1009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09" w:customStyle="1">
    <w:name w:val="Текст Знак"/>
    <w:basedOn w:val="998"/>
    <w:link w:val="1008"/>
    <w:uiPriority w:val="99"/>
    <w:rPr>
      <w:rFonts w:ascii="Consolas" w:hAnsi="Consolas" w:eastAsia="Calibri" w:cs="Times New Roman"/>
      <w:sz w:val="21"/>
      <w:szCs w:val="21"/>
    </w:rPr>
  </w:style>
  <w:style w:type="character" w:styleId="1010">
    <w:name w:val="annotation reference"/>
    <w:uiPriority w:val="99"/>
    <w:rPr>
      <w:sz w:val="16"/>
      <w:szCs w:val="16"/>
    </w:rPr>
  </w:style>
  <w:style w:type="paragraph" w:styleId="1011">
    <w:name w:val="annotation text"/>
    <w:basedOn w:val="993"/>
    <w:link w:val="1012"/>
    <w:uiPriority w:val="99"/>
    <w:rPr>
      <w:sz w:val="20"/>
      <w:szCs w:val="20"/>
    </w:rPr>
  </w:style>
  <w:style w:type="character" w:styleId="1012" w:customStyle="1">
    <w:name w:val="Текст примечания Знак"/>
    <w:basedOn w:val="998"/>
    <w:link w:val="101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3">
    <w:name w:val="Balloon Text"/>
    <w:basedOn w:val="993"/>
    <w:link w:val="1014"/>
    <w:uiPriority w:val="99"/>
    <w:semiHidden/>
    <w:unhideWhenUsed/>
    <w:rPr>
      <w:rFonts w:ascii="Tahoma" w:hAnsi="Tahoma" w:cs="Tahoma"/>
      <w:sz w:val="16"/>
      <w:szCs w:val="16"/>
    </w:rPr>
  </w:style>
  <w:style w:type="character" w:styleId="1014" w:customStyle="1">
    <w:name w:val="Текст выноски Знак"/>
    <w:basedOn w:val="998"/>
    <w:link w:val="101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15">
    <w:name w:val="annotation subject"/>
    <w:basedOn w:val="1011"/>
    <w:next w:val="1011"/>
    <w:link w:val="1016"/>
    <w:uiPriority w:val="99"/>
    <w:semiHidden/>
    <w:unhideWhenUsed/>
    <w:rPr>
      <w:b/>
      <w:bCs/>
    </w:rPr>
  </w:style>
  <w:style w:type="character" w:styleId="1016" w:customStyle="1">
    <w:name w:val="Тема примечания Знак"/>
    <w:basedOn w:val="1012"/>
    <w:link w:val="101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17">
    <w:name w:val="List Paragraph"/>
    <w:basedOn w:val="993"/>
    <w:link w:val="1026"/>
    <w:uiPriority w:val="34"/>
    <w:qFormat/>
    <w:pPr>
      <w:contextualSpacing/>
      <w:ind w:left="720"/>
    </w:pPr>
  </w:style>
  <w:style w:type="character" w:styleId="1018">
    <w:name w:val="Hyperlink"/>
    <w:basedOn w:val="998"/>
    <w:uiPriority w:val="99"/>
    <w:unhideWhenUsed/>
    <w:rPr>
      <w:color w:val="0000ff"/>
      <w:u w:val="single"/>
    </w:rPr>
  </w:style>
  <w:style w:type="character" w:styleId="1019" w:customStyle="1">
    <w:name w:val="Заголовок 5 Знак"/>
    <w:basedOn w:val="998"/>
    <w:link w:val="997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20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1" w:customStyle="1">
    <w:name w:val="Times 12"/>
    <w:basedOn w:val="993"/>
    <w:pPr>
      <w:ind w:firstLine="567"/>
      <w:jc w:val="both"/>
    </w:pPr>
    <w:rPr>
      <w:szCs w:val="20"/>
      <w:lang w:eastAsia="ar-SA"/>
    </w:rPr>
  </w:style>
  <w:style w:type="paragraph" w:styleId="1022">
    <w:name w:val="Footer"/>
    <w:basedOn w:val="993"/>
    <w:link w:val="1023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23" w:customStyle="1">
    <w:name w:val="Нижний колонтитул Знак"/>
    <w:basedOn w:val="998"/>
    <w:link w:val="1022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24">
    <w:name w:val="page number"/>
    <w:basedOn w:val="998"/>
  </w:style>
  <w:style w:type="character" w:styleId="1025" w:customStyle="1">
    <w:name w:val="Заголовок 3 Знак"/>
    <w:basedOn w:val="998"/>
    <w:link w:val="996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26" w:customStyle="1">
    <w:name w:val="Абзац списка Знак"/>
    <w:basedOn w:val="998"/>
    <w:link w:val="1017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27" w:customStyle="1">
    <w:name w:val="Заголовок 2 Знак"/>
    <w:basedOn w:val="998"/>
    <w:link w:val="995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2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29">
    <w:name w:val="footnote text"/>
    <w:basedOn w:val="993"/>
    <w:link w:val="1030"/>
    <w:uiPriority w:val="99"/>
    <w:unhideWhenUsed/>
    <w:rPr>
      <w:sz w:val="20"/>
      <w:szCs w:val="20"/>
    </w:rPr>
  </w:style>
  <w:style w:type="character" w:styleId="1030" w:customStyle="1">
    <w:name w:val="Текст сноски Знак"/>
    <w:basedOn w:val="998"/>
    <w:link w:val="102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31">
    <w:name w:val="footnote reference"/>
    <w:basedOn w:val="998"/>
    <w:uiPriority w:val="99"/>
    <w:unhideWhenUsed/>
    <w:rPr>
      <w:vertAlign w:val="superscript"/>
    </w:rPr>
  </w:style>
  <w:style w:type="paragraph" w:styleId="1032" w:customStyle="1">
    <w:name w:val="Абзац списка1"/>
    <w:basedOn w:val="993"/>
    <w:link w:val="1033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33" w:customStyle="1">
    <w:name w:val="List Paragraph Char"/>
    <w:link w:val="1032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34" w:customStyle="1">
    <w:name w:val="1-з"/>
    <w:qFormat/>
    <w:pPr>
      <w:numPr>
        <w:ilvl w:val="0"/>
        <w:numId w:val="28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35" w:customStyle="1">
    <w:name w:val="2-з"/>
    <w:basedOn w:val="993"/>
    <w:qFormat/>
    <w:pPr>
      <w:numPr>
        <w:ilvl w:val="1"/>
        <w:numId w:val="28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36" w:customStyle="1">
    <w:name w:val="3-з"/>
    <w:link w:val="1042"/>
    <w:qFormat/>
    <w:pPr>
      <w:numPr>
        <w:ilvl w:val="2"/>
        <w:numId w:val="28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37" w:customStyle="1">
    <w:name w:val="нумерация"/>
    <w:uiPriority w:val="99"/>
    <w:pPr>
      <w:numPr>
        <w:ilvl w:val="0"/>
        <w:numId w:val="27"/>
      </w:numPr>
    </w:pPr>
  </w:style>
  <w:style w:type="paragraph" w:styleId="1038" w:customStyle="1">
    <w:name w:val="4-з"/>
    <w:qFormat/>
    <w:pPr>
      <w:numPr>
        <w:ilvl w:val="3"/>
        <w:numId w:val="28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39" w:customStyle="1">
    <w:name w:val="5-з"/>
    <w:basedOn w:val="993"/>
    <w:qFormat/>
    <w:pPr>
      <w:numPr>
        <w:ilvl w:val="4"/>
        <w:numId w:val="28"/>
      </w:numPr>
      <w:jc w:val="both"/>
      <w:widowControl w:val="off"/>
    </w:pPr>
    <w:rPr>
      <w:szCs w:val="20"/>
    </w:rPr>
  </w:style>
  <w:style w:type="paragraph" w:styleId="1040" w:customStyle="1">
    <w:name w:val="6-буквы"/>
    <w:basedOn w:val="993"/>
    <w:qFormat/>
    <w:pPr>
      <w:numPr>
        <w:ilvl w:val="5"/>
        <w:numId w:val="28"/>
      </w:numPr>
      <w:jc w:val="both"/>
      <w:widowControl w:val="off"/>
    </w:pPr>
    <w:rPr>
      <w:szCs w:val="20"/>
    </w:rPr>
  </w:style>
  <w:style w:type="paragraph" w:styleId="1041" w:customStyle="1">
    <w:name w:val="7-форма"/>
    <w:qFormat/>
    <w:pPr>
      <w:numPr>
        <w:ilvl w:val="6"/>
        <w:numId w:val="28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42" w:customStyle="1">
    <w:name w:val="3-з Знак"/>
    <w:basedOn w:val="998"/>
    <w:link w:val="1036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F220B-707F-4C1D-8756-3D25FFE7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Bayandina-IS</cp:lastModifiedBy>
  <cp:revision>213</cp:revision>
  <dcterms:created xsi:type="dcterms:W3CDTF">2017-02-01T12:22:00Z</dcterms:created>
  <dcterms:modified xsi:type="dcterms:W3CDTF">2026-08-04T06:27:54Z</dcterms:modified>
</cp:coreProperties>
</file>